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90824" w14:textId="77777777" w:rsidR="00D6351B" w:rsidRDefault="00D6351B" w:rsidP="00135B5B">
      <w:pPr>
        <w:jc w:val="both"/>
        <w:rPr>
          <w:rFonts w:ascii="Century Gothic" w:hAnsi="Century Gothic" w:cs="Tahoma"/>
        </w:rPr>
      </w:pPr>
    </w:p>
    <w:p w14:paraId="6CFA58BE" w14:textId="77777777" w:rsidR="00D6351B" w:rsidRDefault="00D6351B" w:rsidP="00135B5B">
      <w:pPr>
        <w:jc w:val="both"/>
        <w:rPr>
          <w:rFonts w:ascii="Century Gothic" w:hAnsi="Century Gothic" w:cs="Tahoma"/>
        </w:rPr>
      </w:pPr>
    </w:p>
    <w:p w14:paraId="5B2B610A" w14:textId="77777777" w:rsidR="00D6351B" w:rsidRDefault="00D6351B" w:rsidP="00135B5B">
      <w:pPr>
        <w:jc w:val="both"/>
        <w:rPr>
          <w:rFonts w:ascii="Century Gothic" w:hAnsi="Century Gothic" w:cs="Tahoma"/>
        </w:rPr>
      </w:pPr>
    </w:p>
    <w:p w14:paraId="2A36ABC1" w14:textId="77777777" w:rsidR="00D6351B" w:rsidRDefault="00D6351B" w:rsidP="00135B5B">
      <w:pPr>
        <w:jc w:val="both"/>
        <w:rPr>
          <w:rFonts w:ascii="Century Gothic" w:hAnsi="Century Gothic" w:cs="Tahoma"/>
        </w:rPr>
      </w:pPr>
    </w:p>
    <w:p w14:paraId="0E67CCE7" w14:textId="77777777" w:rsidR="00D6351B" w:rsidRDefault="00D6351B" w:rsidP="00135B5B">
      <w:pPr>
        <w:jc w:val="both"/>
        <w:rPr>
          <w:rFonts w:ascii="Century Gothic" w:hAnsi="Century Gothic" w:cs="Tahoma"/>
        </w:rPr>
      </w:pPr>
    </w:p>
    <w:p w14:paraId="3F2C7FD4" w14:textId="77777777" w:rsidR="00D6351B" w:rsidRDefault="00D6351B" w:rsidP="00135B5B">
      <w:pPr>
        <w:jc w:val="both"/>
        <w:rPr>
          <w:rFonts w:ascii="Century Gothic" w:hAnsi="Century Gothic" w:cs="Tahoma"/>
        </w:rPr>
      </w:pPr>
    </w:p>
    <w:p w14:paraId="2930AD8D" w14:textId="77777777" w:rsidR="00D6351B" w:rsidRDefault="00D6351B" w:rsidP="00135B5B">
      <w:pPr>
        <w:jc w:val="both"/>
        <w:rPr>
          <w:rFonts w:ascii="Century Gothic" w:hAnsi="Century Gothic" w:cs="Tahoma"/>
        </w:rPr>
      </w:pPr>
    </w:p>
    <w:p w14:paraId="4B7EC347" w14:textId="77777777" w:rsidR="00D6351B" w:rsidRDefault="00D6351B" w:rsidP="00135B5B">
      <w:pPr>
        <w:jc w:val="both"/>
        <w:rPr>
          <w:rFonts w:ascii="Century Gothic" w:hAnsi="Century Gothic" w:cs="Tahoma"/>
        </w:rPr>
      </w:pPr>
    </w:p>
    <w:p w14:paraId="59165874" w14:textId="77777777" w:rsidR="00D6351B" w:rsidRDefault="00D6351B" w:rsidP="00135B5B">
      <w:pPr>
        <w:jc w:val="both"/>
        <w:rPr>
          <w:rFonts w:ascii="Century Gothic" w:hAnsi="Century Gothic" w:cs="Tahoma"/>
        </w:rPr>
      </w:pPr>
    </w:p>
    <w:p w14:paraId="494C35ED" w14:textId="77777777" w:rsidR="00D6351B" w:rsidRDefault="00D6351B" w:rsidP="00135B5B">
      <w:pPr>
        <w:jc w:val="both"/>
        <w:rPr>
          <w:rFonts w:ascii="Century Gothic" w:hAnsi="Century Gothic" w:cs="Tahoma"/>
        </w:rPr>
      </w:pPr>
    </w:p>
    <w:p w14:paraId="0BBDB27F" w14:textId="77777777" w:rsidR="00D6351B" w:rsidRDefault="00D6351B" w:rsidP="00135B5B">
      <w:p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360822" wp14:editId="41E2E4C1">
                <wp:simplePos x="0" y="0"/>
                <wp:positionH relativeFrom="column">
                  <wp:posOffset>100330</wp:posOffset>
                </wp:positionH>
                <wp:positionV relativeFrom="paragraph">
                  <wp:posOffset>147319</wp:posOffset>
                </wp:positionV>
                <wp:extent cx="5781675" cy="1247775"/>
                <wp:effectExtent l="19050" t="19050" r="47625" b="66675"/>
                <wp:wrapNone/>
                <wp:docPr id="3" name="Rectangle :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F975113" w14:textId="77777777" w:rsidR="00D6351B" w:rsidRPr="000C29A4" w:rsidRDefault="00D6351B" w:rsidP="00D6351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60"/>
                                <w:szCs w:val="60"/>
                              </w:rPr>
                              <w:t xml:space="preserve">LES MARCHES PUBLICS DE FAIBLE MONTANT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360822" id="Rectangle : coins arrondis 3" o:spid="_x0000_s1026" style="position:absolute;left:0;text-align:left;margin-left:7.9pt;margin-top:11.6pt;width:455.25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" fillcolor="white [3201]" strokecolor="#365f91 [2404]" strokeweight="3pt">
                <v:fill color2="#b8cce4 [1300]" focus="100%" type="gradient"/>
                <v:shadow on="t" color="#243f60 [1604]" opacity=".5" offset="1pt"/>
                <v:textbox>
                  <w:txbxContent>
                    <w:p w14:paraId="1F975113" w14:textId="77777777" w:rsidR="00D6351B" w:rsidRPr="000C29A4" w:rsidRDefault="00D6351B" w:rsidP="00D6351B">
                      <w:pPr>
                        <w:jc w:val="center"/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60"/>
                          <w:szCs w:val="6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60"/>
                          <w:szCs w:val="60"/>
                        </w:rPr>
                        <w:t xml:space="preserve">LES MARCHES PUBLICS DE FAIBLE MONTANT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756D1C" w14:textId="77777777" w:rsidR="00D6351B" w:rsidRDefault="00D6351B" w:rsidP="00135B5B">
      <w:pPr>
        <w:jc w:val="both"/>
        <w:rPr>
          <w:rFonts w:ascii="Century Gothic" w:hAnsi="Century Gothic" w:cs="Tahoma"/>
        </w:rPr>
      </w:pPr>
    </w:p>
    <w:p w14:paraId="3EE77CC6" w14:textId="77777777" w:rsidR="00D6351B" w:rsidRDefault="00D6351B" w:rsidP="00135B5B">
      <w:pPr>
        <w:jc w:val="both"/>
        <w:rPr>
          <w:rFonts w:ascii="Century Gothic" w:hAnsi="Century Gothic" w:cs="Tahoma"/>
        </w:rPr>
      </w:pPr>
    </w:p>
    <w:p w14:paraId="51AA9B35" w14:textId="77777777" w:rsidR="00D6351B" w:rsidRDefault="00D6351B" w:rsidP="00135B5B">
      <w:pPr>
        <w:jc w:val="both"/>
        <w:rPr>
          <w:rFonts w:ascii="Century Gothic" w:hAnsi="Century Gothic" w:cs="Tahoma"/>
        </w:rPr>
      </w:pPr>
    </w:p>
    <w:p w14:paraId="191133F2" w14:textId="77777777" w:rsidR="00D6351B" w:rsidRDefault="00D6351B" w:rsidP="00135B5B">
      <w:pPr>
        <w:jc w:val="both"/>
        <w:rPr>
          <w:rFonts w:ascii="Century Gothic" w:hAnsi="Century Gothic" w:cs="Tahoma"/>
        </w:rPr>
      </w:pPr>
    </w:p>
    <w:p w14:paraId="44028FC6" w14:textId="77777777" w:rsidR="00D6351B" w:rsidRDefault="00D6351B" w:rsidP="00135B5B">
      <w:pPr>
        <w:jc w:val="both"/>
        <w:rPr>
          <w:rFonts w:ascii="Century Gothic" w:hAnsi="Century Gothic" w:cs="Tahoma"/>
        </w:rPr>
      </w:pPr>
    </w:p>
    <w:p w14:paraId="315275FF" w14:textId="77777777" w:rsidR="00D6351B" w:rsidRDefault="00D6351B" w:rsidP="00135B5B">
      <w:pPr>
        <w:jc w:val="both"/>
        <w:rPr>
          <w:rFonts w:ascii="Century Gothic" w:hAnsi="Century Gothic" w:cs="Tahoma"/>
        </w:rPr>
      </w:pPr>
    </w:p>
    <w:p w14:paraId="43859406" w14:textId="77777777" w:rsidR="00D6351B" w:rsidRDefault="00D6351B" w:rsidP="00135B5B">
      <w:pPr>
        <w:jc w:val="both"/>
        <w:rPr>
          <w:rFonts w:ascii="Century Gothic" w:hAnsi="Century Gothic" w:cs="Tahoma"/>
        </w:rPr>
      </w:pPr>
    </w:p>
    <w:p w14:paraId="768C8298" w14:textId="77777777" w:rsidR="00D6351B" w:rsidRDefault="00D6351B" w:rsidP="00135B5B">
      <w:pPr>
        <w:jc w:val="both"/>
        <w:rPr>
          <w:rFonts w:ascii="Century Gothic" w:hAnsi="Century Gothic" w:cs="Tahoma"/>
        </w:rPr>
      </w:pPr>
    </w:p>
    <w:p w14:paraId="077AE7F3" w14:textId="77777777" w:rsidR="00D6351B" w:rsidRDefault="00D6351B" w:rsidP="00135B5B">
      <w:pPr>
        <w:jc w:val="both"/>
        <w:rPr>
          <w:rFonts w:ascii="Century Gothic" w:hAnsi="Century Gothic" w:cs="Tahoma"/>
        </w:rPr>
      </w:pPr>
    </w:p>
    <w:p w14:paraId="112109F5" w14:textId="77777777" w:rsidR="00D6351B" w:rsidRDefault="00D6351B" w:rsidP="00135B5B">
      <w:pPr>
        <w:jc w:val="both"/>
        <w:rPr>
          <w:rFonts w:ascii="Century Gothic" w:hAnsi="Century Gothic" w:cs="Tahoma"/>
        </w:rPr>
      </w:pPr>
    </w:p>
    <w:p w14:paraId="3B87A3B7" w14:textId="77777777" w:rsidR="00D6351B" w:rsidRDefault="00D6351B" w:rsidP="00135B5B">
      <w:pPr>
        <w:jc w:val="both"/>
        <w:rPr>
          <w:rFonts w:ascii="Century Gothic" w:hAnsi="Century Gothic" w:cs="Tahoma"/>
        </w:rPr>
      </w:pPr>
    </w:p>
    <w:p w14:paraId="5DA087A8" w14:textId="77777777" w:rsidR="00D6351B" w:rsidRDefault="00D6351B" w:rsidP="00135B5B">
      <w:pPr>
        <w:jc w:val="both"/>
        <w:rPr>
          <w:rFonts w:ascii="Century Gothic" w:hAnsi="Century Gothic" w:cs="Tahoma"/>
        </w:rPr>
      </w:pPr>
    </w:p>
    <w:p w14:paraId="7281329C" w14:textId="77777777" w:rsidR="00D6351B" w:rsidRDefault="00D6351B" w:rsidP="00135B5B">
      <w:pPr>
        <w:jc w:val="both"/>
        <w:rPr>
          <w:rFonts w:ascii="Century Gothic" w:hAnsi="Century Gothic" w:cs="Tahoma"/>
        </w:rPr>
      </w:pPr>
    </w:p>
    <w:p w14:paraId="617F912B" w14:textId="77777777" w:rsidR="00D6351B" w:rsidRDefault="00D6351B" w:rsidP="00135B5B">
      <w:pPr>
        <w:jc w:val="both"/>
        <w:rPr>
          <w:rFonts w:ascii="Century Gothic" w:hAnsi="Century Gothic" w:cs="Tahoma"/>
        </w:rPr>
      </w:pPr>
    </w:p>
    <w:p w14:paraId="75F0FA41" w14:textId="77777777" w:rsidR="00D6351B" w:rsidRDefault="00D6351B" w:rsidP="00135B5B">
      <w:pPr>
        <w:jc w:val="both"/>
        <w:rPr>
          <w:rFonts w:ascii="Century Gothic" w:hAnsi="Century Gothic" w:cs="Tahoma"/>
        </w:rPr>
      </w:pPr>
    </w:p>
    <w:p w14:paraId="38BD9570" w14:textId="77777777" w:rsidR="00D6351B" w:rsidRDefault="00D6351B" w:rsidP="00135B5B">
      <w:pPr>
        <w:jc w:val="both"/>
        <w:rPr>
          <w:rFonts w:ascii="Century Gothic" w:hAnsi="Century Gothic" w:cs="Tahoma"/>
        </w:rPr>
      </w:pPr>
    </w:p>
    <w:p w14:paraId="5A54D33D" w14:textId="64BF071B" w:rsidR="00701317" w:rsidRPr="00D6351B" w:rsidRDefault="00786C98" w:rsidP="00701317">
      <w:pPr>
        <w:jc w:val="both"/>
        <w:rPr>
          <w:rFonts w:ascii="Century Gothic" w:hAnsi="Century Gothic"/>
          <w:noProof/>
          <w:sz w:val="21"/>
          <w:szCs w:val="21"/>
        </w:rPr>
      </w:pPr>
      <w:r>
        <w:lastRenderedPageBreak/>
        <w:fldChar w:fldCharType="begin"/>
      </w:r>
      <w:r>
        <w:instrText xml:space="preserve"> HYPERLINK \l "_Toc17296961" </w:instrText>
      </w:r>
      <w:r>
        <w:fldChar w:fldCharType="separat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r-FR" w:eastAsia="en-US"/>
        </w:rPr>
        <w:id w:val="-16438016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338AAFF" w14:textId="200DDDD0" w:rsidR="00701317" w:rsidRDefault="00701317">
          <w:pPr>
            <w:pStyle w:val="En-ttedetabledesmatires"/>
          </w:pPr>
          <w:r>
            <w:rPr>
              <w:lang w:val="fr-FR"/>
            </w:rPr>
            <w:t>Table des matières</w:t>
          </w:r>
        </w:p>
        <w:p w14:paraId="7D4AA2EC" w14:textId="4ECA3254" w:rsidR="00701317" w:rsidRDefault="00701317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8491561" w:history="1">
            <w:r w:rsidRPr="00AB765D">
              <w:rPr>
                <w:rStyle w:val="Lienhypertexte"/>
                <w:noProof/>
              </w:rPr>
              <w:t>1.</w:t>
            </w:r>
            <w:r>
              <w:rPr>
                <w:rFonts w:eastAsiaTheme="minorEastAsia"/>
                <w:noProof/>
                <w:lang w:eastAsia="fr-BE"/>
              </w:rPr>
              <w:tab/>
            </w:r>
            <w:r w:rsidRPr="00AB765D">
              <w:rPr>
                <w:rStyle w:val="Lienhypertexte"/>
                <w:noProof/>
              </w:rPr>
              <w:t>En quoi consiste un marché public de faible montant 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_Toc58491561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E52B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59443A" w14:textId="2B950761" w:rsidR="00701317" w:rsidRDefault="00282031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58491562" w:history="1">
            <w:r w:rsidR="00701317" w:rsidRPr="00AB765D">
              <w:rPr>
                <w:rStyle w:val="Lienhypertexte"/>
                <w:rFonts w:eastAsia="Times New Roman"/>
                <w:noProof/>
                <w:lang w:val="fr-FR" w:eastAsia="fr-FR"/>
              </w:rPr>
              <w:t>2.</w:t>
            </w:r>
            <w:r w:rsidR="00701317">
              <w:rPr>
                <w:rFonts w:eastAsiaTheme="minorEastAsia"/>
                <w:noProof/>
                <w:lang w:eastAsia="fr-BE"/>
              </w:rPr>
              <w:tab/>
            </w:r>
            <w:r w:rsidR="00701317" w:rsidRPr="00AB765D">
              <w:rPr>
                <w:rStyle w:val="Lienhypertexte"/>
                <w:rFonts w:eastAsia="Times New Roman"/>
                <w:noProof/>
                <w:lang w:val="fr-FR" w:eastAsia="fr-FR"/>
              </w:rPr>
              <w:t>En quoi consiste le régime assoupli ?</w:t>
            </w:r>
            <w:r w:rsidR="00701317">
              <w:rPr>
                <w:noProof/>
                <w:webHidden/>
              </w:rPr>
              <w:tab/>
            </w:r>
            <w:r w:rsidR="00701317">
              <w:rPr>
                <w:noProof/>
                <w:webHidden/>
              </w:rPr>
              <w:fldChar w:fldCharType="begin"/>
            </w:r>
            <w:r w:rsidR="00701317">
              <w:rPr>
                <w:noProof/>
                <w:webHidden/>
              </w:rPr>
              <w:instrText xml:space="preserve"> PAGEREF _Toc58491562 \h </w:instrText>
            </w:r>
            <w:r w:rsidR="00701317">
              <w:rPr>
                <w:noProof/>
                <w:webHidden/>
              </w:rPr>
            </w:r>
            <w:r w:rsidR="00701317">
              <w:rPr>
                <w:noProof/>
                <w:webHidden/>
              </w:rPr>
              <w:fldChar w:fldCharType="separate"/>
            </w:r>
            <w:r w:rsidR="006E52BC">
              <w:rPr>
                <w:noProof/>
                <w:webHidden/>
              </w:rPr>
              <w:t>3</w:t>
            </w:r>
            <w:r w:rsidR="00701317">
              <w:rPr>
                <w:noProof/>
                <w:webHidden/>
              </w:rPr>
              <w:fldChar w:fldCharType="end"/>
            </w:r>
          </w:hyperlink>
        </w:p>
        <w:p w14:paraId="029B2EBB" w14:textId="7927C65C" w:rsidR="00701317" w:rsidRDefault="00282031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58491563" w:history="1">
            <w:r w:rsidR="00701317" w:rsidRPr="00AB765D">
              <w:rPr>
                <w:rStyle w:val="Lienhypertexte"/>
                <w:rFonts w:eastAsia="Times New Roman"/>
                <w:noProof/>
                <w:lang w:val="fr-FR" w:eastAsia="fr-FR"/>
              </w:rPr>
              <w:t>3.</w:t>
            </w:r>
            <w:r w:rsidR="00701317">
              <w:rPr>
                <w:rFonts w:eastAsiaTheme="minorEastAsia"/>
                <w:noProof/>
                <w:lang w:eastAsia="fr-BE"/>
              </w:rPr>
              <w:tab/>
            </w:r>
            <w:r w:rsidR="00701317" w:rsidRPr="00AB765D">
              <w:rPr>
                <w:rStyle w:val="Lienhypertexte"/>
                <w:rFonts w:eastAsia="Times New Roman"/>
                <w:noProof/>
                <w:lang w:val="fr-FR" w:eastAsia="fr-FR"/>
              </w:rPr>
              <w:t>Comment se déroule un marché public de faible montant ?</w:t>
            </w:r>
            <w:r w:rsidR="00701317">
              <w:rPr>
                <w:noProof/>
                <w:webHidden/>
              </w:rPr>
              <w:tab/>
            </w:r>
            <w:r w:rsidR="00701317">
              <w:rPr>
                <w:noProof/>
                <w:webHidden/>
              </w:rPr>
              <w:fldChar w:fldCharType="begin"/>
            </w:r>
            <w:r w:rsidR="00701317">
              <w:rPr>
                <w:noProof/>
                <w:webHidden/>
              </w:rPr>
              <w:instrText xml:space="preserve"> PAGEREF _Toc58491563 \h </w:instrText>
            </w:r>
            <w:r w:rsidR="00701317">
              <w:rPr>
                <w:noProof/>
                <w:webHidden/>
              </w:rPr>
            </w:r>
            <w:r w:rsidR="00701317">
              <w:rPr>
                <w:noProof/>
                <w:webHidden/>
              </w:rPr>
              <w:fldChar w:fldCharType="separate"/>
            </w:r>
            <w:r w:rsidR="006E52BC">
              <w:rPr>
                <w:noProof/>
                <w:webHidden/>
              </w:rPr>
              <w:t>4</w:t>
            </w:r>
            <w:r w:rsidR="00701317">
              <w:rPr>
                <w:noProof/>
                <w:webHidden/>
              </w:rPr>
              <w:fldChar w:fldCharType="end"/>
            </w:r>
          </w:hyperlink>
        </w:p>
        <w:p w14:paraId="165C5E41" w14:textId="25A560DF" w:rsidR="00701317" w:rsidRDefault="00282031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58491564" w:history="1">
            <w:r w:rsidR="00701317" w:rsidRPr="00AB765D">
              <w:rPr>
                <w:rStyle w:val="Lienhypertexte"/>
                <w:noProof/>
              </w:rPr>
              <w:t>3.1.</w:t>
            </w:r>
            <w:r w:rsidR="00701317">
              <w:rPr>
                <w:rFonts w:eastAsiaTheme="minorEastAsia"/>
                <w:noProof/>
                <w:lang w:eastAsia="fr-BE"/>
              </w:rPr>
              <w:tab/>
            </w:r>
            <w:r w:rsidR="00701317" w:rsidRPr="00AB765D">
              <w:rPr>
                <w:rStyle w:val="Lienhypertexte"/>
                <w:noProof/>
              </w:rPr>
              <w:t>La mise en concurrence</w:t>
            </w:r>
            <w:r w:rsidR="00701317">
              <w:rPr>
                <w:noProof/>
                <w:webHidden/>
              </w:rPr>
              <w:tab/>
            </w:r>
            <w:r w:rsidR="00701317">
              <w:rPr>
                <w:noProof/>
                <w:webHidden/>
              </w:rPr>
              <w:fldChar w:fldCharType="begin"/>
            </w:r>
            <w:r w:rsidR="00701317">
              <w:rPr>
                <w:noProof/>
                <w:webHidden/>
              </w:rPr>
              <w:instrText xml:space="preserve"> PAGEREF _Toc58491564 \h </w:instrText>
            </w:r>
            <w:r w:rsidR="00701317">
              <w:rPr>
                <w:noProof/>
                <w:webHidden/>
              </w:rPr>
            </w:r>
            <w:r w:rsidR="00701317">
              <w:rPr>
                <w:noProof/>
                <w:webHidden/>
              </w:rPr>
              <w:fldChar w:fldCharType="separate"/>
            </w:r>
            <w:r w:rsidR="006E52BC">
              <w:rPr>
                <w:noProof/>
                <w:webHidden/>
              </w:rPr>
              <w:t>4</w:t>
            </w:r>
            <w:r w:rsidR="00701317">
              <w:rPr>
                <w:noProof/>
                <w:webHidden/>
              </w:rPr>
              <w:fldChar w:fldCharType="end"/>
            </w:r>
          </w:hyperlink>
        </w:p>
        <w:p w14:paraId="70989E6F" w14:textId="1BCA5F0A" w:rsidR="00701317" w:rsidRDefault="00282031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58491565" w:history="1">
            <w:r w:rsidR="00701317" w:rsidRPr="00AB765D">
              <w:rPr>
                <w:rStyle w:val="Lienhypertexte"/>
                <w:noProof/>
              </w:rPr>
              <w:t>3.2.</w:t>
            </w:r>
            <w:r w:rsidR="00701317">
              <w:rPr>
                <w:rFonts w:eastAsiaTheme="minorEastAsia"/>
                <w:noProof/>
                <w:lang w:eastAsia="fr-BE"/>
              </w:rPr>
              <w:tab/>
            </w:r>
            <w:r w:rsidR="00701317" w:rsidRPr="00AB765D">
              <w:rPr>
                <w:rStyle w:val="Lienhypertexte"/>
                <w:noProof/>
              </w:rPr>
              <w:t>La preuve de la mise en concurrence</w:t>
            </w:r>
            <w:r w:rsidR="00701317">
              <w:rPr>
                <w:noProof/>
                <w:webHidden/>
              </w:rPr>
              <w:tab/>
            </w:r>
            <w:r w:rsidR="00701317">
              <w:rPr>
                <w:noProof/>
                <w:webHidden/>
              </w:rPr>
              <w:fldChar w:fldCharType="begin"/>
            </w:r>
            <w:r w:rsidR="00701317">
              <w:rPr>
                <w:noProof/>
                <w:webHidden/>
              </w:rPr>
              <w:instrText xml:space="preserve"> PAGEREF _Toc58491565 \h </w:instrText>
            </w:r>
            <w:r w:rsidR="00701317">
              <w:rPr>
                <w:noProof/>
                <w:webHidden/>
              </w:rPr>
            </w:r>
            <w:r w:rsidR="00701317">
              <w:rPr>
                <w:noProof/>
                <w:webHidden/>
              </w:rPr>
              <w:fldChar w:fldCharType="separate"/>
            </w:r>
            <w:r w:rsidR="006E52BC">
              <w:rPr>
                <w:noProof/>
                <w:webHidden/>
              </w:rPr>
              <w:t>4</w:t>
            </w:r>
            <w:r w:rsidR="00701317">
              <w:rPr>
                <w:noProof/>
                <w:webHidden/>
              </w:rPr>
              <w:fldChar w:fldCharType="end"/>
            </w:r>
          </w:hyperlink>
        </w:p>
        <w:p w14:paraId="2A02E95C" w14:textId="27C46B79" w:rsidR="00701317" w:rsidRDefault="00282031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58491566" w:history="1">
            <w:r w:rsidR="00701317" w:rsidRPr="00AB765D">
              <w:rPr>
                <w:rStyle w:val="Lienhypertexte"/>
                <w:noProof/>
              </w:rPr>
              <w:t>3.3.</w:t>
            </w:r>
            <w:r w:rsidR="00701317">
              <w:rPr>
                <w:rFonts w:eastAsiaTheme="minorEastAsia"/>
                <w:noProof/>
                <w:lang w:eastAsia="fr-BE"/>
              </w:rPr>
              <w:tab/>
            </w:r>
            <w:r w:rsidR="00701317" w:rsidRPr="00AB765D">
              <w:rPr>
                <w:rStyle w:val="Lienhypertexte"/>
                <w:noProof/>
              </w:rPr>
              <w:t>Le descriptif du marché</w:t>
            </w:r>
            <w:r w:rsidR="00701317">
              <w:rPr>
                <w:noProof/>
                <w:webHidden/>
              </w:rPr>
              <w:tab/>
            </w:r>
            <w:r w:rsidR="00701317">
              <w:rPr>
                <w:noProof/>
                <w:webHidden/>
              </w:rPr>
              <w:fldChar w:fldCharType="begin"/>
            </w:r>
            <w:r w:rsidR="00701317">
              <w:rPr>
                <w:noProof/>
                <w:webHidden/>
              </w:rPr>
              <w:instrText xml:space="preserve"> PAGEREF _Toc58491566 \h </w:instrText>
            </w:r>
            <w:r w:rsidR="00701317">
              <w:rPr>
                <w:noProof/>
                <w:webHidden/>
              </w:rPr>
            </w:r>
            <w:r w:rsidR="00701317">
              <w:rPr>
                <w:noProof/>
                <w:webHidden/>
              </w:rPr>
              <w:fldChar w:fldCharType="separate"/>
            </w:r>
            <w:r w:rsidR="006E52BC">
              <w:rPr>
                <w:noProof/>
                <w:webHidden/>
              </w:rPr>
              <w:t>4</w:t>
            </w:r>
            <w:r w:rsidR="00701317">
              <w:rPr>
                <w:noProof/>
                <w:webHidden/>
              </w:rPr>
              <w:fldChar w:fldCharType="end"/>
            </w:r>
          </w:hyperlink>
        </w:p>
        <w:p w14:paraId="4CBF2A97" w14:textId="1C78DD3A" w:rsidR="00701317" w:rsidRDefault="00282031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58491567" w:history="1">
            <w:r w:rsidR="00701317" w:rsidRPr="00AB765D">
              <w:rPr>
                <w:rStyle w:val="Lienhypertexte"/>
                <w:noProof/>
              </w:rPr>
              <w:t>3.4.</w:t>
            </w:r>
            <w:r w:rsidR="00701317">
              <w:rPr>
                <w:rFonts w:eastAsiaTheme="minorEastAsia"/>
                <w:noProof/>
                <w:lang w:eastAsia="fr-BE"/>
              </w:rPr>
              <w:tab/>
            </w:r>
            <w:r w:rsidR="00701317" w:rsidRPr="00AB765D">
              <w:rPr>
                <w:rStyle w:val="Lienhypertexte"/>
                <w:noProof/>
              </w:rPr>
              <w:t>La remise facultative d’une offre</w:t>
            </w:r>
            <w:r w:rsidR="00701317">
              <w:rPr>
                <w:noProof/>
                <w:webHidden/>
              </w:rPr>
              <w:tab/>
            </w:r>
            <w:r w:rsidR="00701317">
              <w:rPr>
                <w:noProof/>
                <w:webHidden/>
              </w:rPr>
              <w:fldChar w:fldCharType="begin"/>
            </w:r>
            <w:r w:rsidR="00701317">
              <w:rPr>
                <w:noProof/>
                <w:webHidden/>
              </w:rPr>
              <w:instrText xml:space="preserve"> PAGEREF _Toc58491567 \h </w:instrText>
            </w:r>
            <w:r w:rsidR="00701317">
              <w:rPr>
                <w:noProof/>
                <w:webHidden/>
              </w:rPr>
            </w:r>
            <w:r w:rsidR="00701317">
              <w:rPr>
                <w:noProof/>
                <w:webHidden/>
              </w:rPr>
              <w:fldChar w:fldCharType="separate"/>
            </w:r>
            <w:r w:rsidR="006E52BC">
              <w:rPr>
                <w:noProof/>
                <w:webHidden/>
              </w:rPr>
              <w:t>5</w:t>
            </w:r>
            <w:r w:rsidR="00701317">
              <w:rPr>
                <w:noProof/>
                <w:webHidden/>
              </w:rPr>
              <w:fldChar w:fldCharType="end"/>
            </w:r>
          </w:hyperlink>
        </w:p>
        <w:p w14:paraId="5CD1B739" w14:textId="1C2053BE" w:rsidR="00701317" w:rsidRDefault="00282031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58491568" w:history="1">
            <w:r w:rsidR="00701317" w:rsidRPr="00AB765D">
              <w:rPr>
                <w:rStyle w:val="Lienhypertexte"/>
                <w:noProof/>
              </w:rPr>
              <w:t>3.5.</w:t>
            </w:r>
            <w:r w:rsidR="00701317">
              <w:rPr>
                <w:rFonts w:eastAsiaTheme="minorEastAsia"/>
                <w:noProof/>
                <w:lang w:eastAsia="fr-BE"/>
              </w:rPr>
              <w:tab/>
            </w:r>
            <w:r w:rsidR="00701317" w:rsidRPr="00AB765D">
              <w:rPr>
                <w:rStyle w:val="Lienhypertexte"/>
                <w:noProof/>
              </w:rPr>
              <w:t>La négociation</w:t>
            </w:r>
            <w:r w:rsidR="00701317">
              <w:rPr>
                <w:noProof/>
                <w:webHidden/>
              </w:rPr>
              <w:tab/>
            </w:r>
            <w:r w:rsidR="00701317">
              <w:rPr>
                <w:noProof/>
                <w:webHidden/>
              </w:rPr>
              <w:fldChar w:fldCharType="begin"/>
            </w:r>
            <w:r w:rsidR="00701317">
              <w:rPr>
                <w:noProof/>
                <w:webHidden/>
              </w:rPr>
              <w:instrText xml:space="preserve"> PAGEREF _Toc58491568 \h </w:instrText>
            </w:r>
            <w:r w:rsidR="00701317">
              <w:rPr>
                <w:noProof/>
                <w:webHidden/>
              </w:rPr>
            </w:r>
            <w:r w:rsidR="00701317">
              <w:rPr>
                <w:noProof/>
                <w:webHidden/>
              </w:rPr>
              <w:fldChar w:fldCharType="separate"/>
            </w:r>
            <w:r w:rsidR="006E52BC">
              <w:rPr>
                <w:noProof/>
                <w:webHidden/>
              </w:rPr>
              <w:t>5</w:t>
            </w:r>
            <w:r w:rsidR="00701317">
              <w:rPr>
                <w:noProof/>
                <w:webHidden/>
              </w:rPr>
              <w:fldChar w:fldCharType="end"/>
            </w:r>
          </w:hyperlink>
        </w:p>
        <w:p w14:paraId="746EF3C6" w14:textId="78E59D65" w:rsidR="00701317" w:rsidRDefault="00282031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58491569" w:history="1">
            <w:r w:rsidR="00701317" w:rsidRPr="00AB765D">
              <w:rPr>
                <w:rStyle w:val="Lienhypertexte"/>
                <w:noProof/>
              </w:rPr>
              <w:t>3.6.</w:t>
            </w:r>
            <w:r w:rsidR="00701317">
              <w:rPr>
                <w:rFonts w:eastAsiaTheme="minorEastAsia"/>
                <w:noProof/>
                <w:lang w:eastAsia="fr-BE"/>
              </w:rPr>
              <w:tab/>
            </w:r>
            <w:r w:rsidR="00701317" w:rsidRPr="00AB765D">
              <w:rPr>
                <w:rStyle w:val="Lienhypertexte"/>
                <w:noProof/>
              </w:rPr>
              <w:t>La conclusion du marché</w:t>
            </w:r>
            <w:r w:rsidR="00701317">
              <w:rPr>
                <w:noProof/>
                <w:webHidden/>
              </w:rPr>
              <w:tab/>
            </w:r>
            <w:r w:rsidR="00701317">
              <w:rPr>
                <w:noProof/>
                <w:webHidden/>
              </w:rPr>
              <w:fldChar w:fldCharType="begin"/>
            </w:r>
            <w:r w:rsidR="00701317">
              <w:rPr>
                <w:noProof/>
                <w:webHidden/>
              </w:rPr>
              <w:instrText xml:space="preserve"> PAGEREF _Toc58491569 \h </w:instrText>
            </w:r>
            <w:r w:rsidR="00701317">
              <w:rPr>
                <w:noProof/>
                <w:webHidden/>
              </w:rPr>
            </w:r>
            <w:r w:rsidR="00701317">
              <w:rPr>
                <w:noProof/>
                <w:webHidden/>
              </w:rPr>
              <w:fldChar w:fldCharType="separate"/>
            </w:r>
            <w:r w:rsidR="006E52BC">
              <w:rPr>
                <w:noProof/>
                <w:webHidden/>
              </w:rPr>
              <w:t>5</w:t>
            </w:r>
            <w:r w:rsidR="00701317">
              <w:rPr>
                <w:noProof/>
                <w:webHidden/>
              </w:rPr>
              <w:fldChar w:fldCharType="end"/>
            </w:r>
          </w:hyperlink>
        </w:p>
        <w:p w14:paraId="5F8AEC9D" w14:textId="37510E98" w:rsidR="00701317" w:rsidRDefault="00282031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58491570" w:history="1">
            <w:r w:rsidR="00701317" w:rsidRPr="00AB765D">
              <w:rPr>
                <w:rStyle w:val="Lienhypertexte"/>
                <w:rFonts w:eastAsia="Times New Roman"/>
                <w:noProof/>
                <w:lang w:val="fr-FR" w:eastAsia="fr-FR"/>
              </w:rPr>
              <w:t>4.</w:t>
            </w:r>
            <w:r w:rsidR="00701317">
              <w:rPr>
                <w:rFonts w:eastAsiaTheme="minorEastAsia"/>
                <w:noProof/>
                <w:lang w:eastAsia="fr-BE"/>
              </w:rPr>
              <w:tab/>
            </w:r>
            <w:r w:rsidR="00701317" w:rsidRPr="00AB765D">
              <w:rPr>
                <w:rStyle w:val="Lienhypertexte"/>
                <w:rFonts w:eastAsia="Times New Roman"/>
                <w:noProof/>
                <w:lang w:val="fr-FR" w:eastAsia="fr-FR"/>
              </w:rPr>
              <w:t>Quelles règles s’appliquent lors de l’exécution ?</w:t>
            </w:r>
            <w:r w:rsidR="00701317">
              <w:rPr>
                <w:noProof/>
                <w:webHidden/>
              </w:rPr>
              <w:tab/>
            </w:r>
            <w:r w:rsidR="00701317">
              <w:rPr>
                <w:noProof/>
                <w:webHidden/>
              </w:rPr>
              <w:fldChar w:fldCharType="begin"/>
            </w:r>
            <w:r w:rsidR="00701317">
              <w:rPr>
                <w:noProof/>
                <w:webHidden/>
              </w:rPr>
              <w:instrText xml:space="preserve"> PAGEREF _Toc58491570 \h </w:instrText>
            </w:r>
            <w:r w:rsidR="00701317">
              <w:rPr>
                <w:noProof/>
                <w:webHidden/>
              </w:rPr>
            </w:r>
            <w:r w:rsidR="00701317">
              <w:rPr>
                <w:noProof/>
                <w:webHidden/>
              </w:rPr>
              <w:fldChar w:fldCharType="separate"/>
            </w:r>
            <w:r w:rsidR="006E52BC">
              <w:rPr>
                <w:noProof/>
                <w:webHidden/>
              </w:rPr>
              <w:t>5</w:t>
            </w:r>
            <w:r w:rsidR="00701317">
              <w:rPr>
                <w:noProof/>
                <w:webHidden/>
              </w:rPr>
              <w:fldChar w:fldCharType="end"/>
            </w:r>
          </w:hyperlink>
        </w:p>
        <w:p w14:paraId="6FA41C46" w14:textId="78C6AD48" w:rsidR="00701317" w:rsidRDefault="00282031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58491571" w:history="1">
            <w:r w:rsidR="00701317" w:rsidRPr="00AB765D">
              <w:rPr>
                <w:rStyle w:val="Lienhypertexte"/>
                <w:rFonts w:eastAsia="Times New Roman"/>
                <w:noProof/>
                <w:lang w:val="fr-FR" w:eastAsia="fr-FR"/>
              </w:rPr>
              <w:t>5.</w:t>
            </w:r>
            <w:r w:rsidR="00701317">
              <w:rPr>
                <w:rFonts w:eastAsiaTheme="minorEastAsia"/>
                <w:noProof/>
                <w:lang w:eastAsia="fr-BE"/>
              </w:rPr>
              <w:tab/>
            </w:r>
            <w:r w:rsidR="00701317" w:rsidRPr="00AB765D">
              <w:rPr>
                <w:rStyle w:val="Lienhypertexte"/>
                <w:rFonts w:eastAsia="Times New Roman"/>
                <w:noProof/>
                <w:lang w:val="fr-FR" w:eastAsia="fr-FR"/>
              </w:rPr>
              <w:t>Quelles règles s’appliquent en matière de motivation et d’information ?</w:t>
            </w:r>
            <w:r w:rsidR="00701317">
              <w:rPr>
                <w:noProof/>
                <w:webHidden/>
              </w:rPr>
              <w:tab/>
            </w:r>
            <w:r w:rsidR="00701317">
              <w:rPr>
                <w:noProof/>
                <w:webHidden/>
              </w:rPr>
              <w:fldChar w:fldCharType="begin"/>
            </w:r>
            <w:r w:rsidR="00701317">
              <w:rPr>
                <w:noProof/>
                <w:webHidden/>
              </w:rPr>
              <w:instrText xml:space="preserve"> PAGEREF _Toc58491571 \h </w:instrText>
            </w:r>
            <w:r w:rsidR="00701317">
              <w:rPr>
                <w:noProof/>
                <w:webHidden/>
              </w:rPr>
            </w:r>
            <w:r w:rsidR="00701317">
              <w:rPr>
                <w:noProof/>
                <w:webHidden/>
              </w:rPr>
              <w:fldChar w:fldCharType="separate"/>
            </w:r>
            <w:r w:rsidR="006E52BC">
              <w:rPr>
                <w:noProof/>
                <w:webHidden/>
              </w:rPr>
              <w:t>6</w:t>
            </w:r>
            <w:r w:rsidR="00701317">
              <w:rPr>
                <w:noProof/>
                <w:webHidden/>
              </w:rPr>
              <w:fldChar w:fldCharType="end"/>
            </w:r>
          </w:hyperlink>
        </w:p>
        <w:p w14:paraId="3004B854" w14:textId="3C04D28A" w:rsidR="00701317" w:rsidRDefault="00701317">
          <w:r>
            <w:rPr>
              <w:b/>
              <w:bCs/>
              <w:lang w:val="fr-FR"/>
            </w:rPr>
            <w:fldChar w:fldCharType="end"/>
          </w:r>
        </w:p>
      </w:sdtContent>
    </w:sdt>
    <w:p w14:paraId="09DB5FAF" w14:textId="7FBE26BA" w:rsidR="00D6351B" w:rsidRPr="00D6351B" w:rsidRDefault="00D6351B" w:rsidP="00701317">
      <w:pPr>
        <w:pStyle w:val="TM1"/>
        <w:tabs>
          <w:tab w:val="left" w:pos="440"/>
          <w:tab w:val="right" w:leader="dot" w:pos="9062"/>
        </w:tabs>
        <w:rPr>
          <w:rFonts w:ascii="Century Gothic" w:hAnsi="Century Gothic"/>
          <w:noProof/>
          <w:sz w:val="21"/>
          <w:szCs w:val="21"/>
        </w:rPr>
      </w:pPr>
      <w:r w:rsidRPr="00D6351B">
        <w:rPr>
          <w:rFonts w:ascii="Century Gothic" w:hAnsi="Century Gothic"/>
          <w:noProof/>
          <w:webHidden/>
          <w:sz w:val="21"/>
          <w:szCs w:val="21"/>
        </w:rPr>
        <w:tab/>
      </w:r>
      <w:r w:rsidR="00786C98">
        <w:rPr>
          <w:rFonts w:ascii="Century Gothic" w:hAnsi="Century Gothic"/>
          <w:noProof/>
          <w:sz w:val="21"/>
          <w:szCs w:val="21"/>
        </w:rPr>
        <w:fldChar w:fldCharType="end"/>
      </w:r>
    </w:p>
    <w:p w14:paraId="3FF285A1" w14:textId="77777777" w:rsidR="00D6351B" w:rsidRPr="00D6351B" w:rsidRDefault="00D6351B" w:rsidP="00135B5B">
      <w:pPr>
        <w:jc w:val="both"/>
        <w:rPr>
          <w:rFonts w:ascii="Century Gothic" w:hAnsi="Century Gothic" w:cs="Tahoma"/>
          <w:b/>
          <w:color w:val="365F91" w:themeColor="accent1" w:themeShade="BF"/>
          <w:sz w:val="28"/>
          <w:szCs w:val="28"/>
        </w:rPr>
      </w:pPr>
    </w:p>
    <w:p w14:paraId="55FD4F26" w14:textId="77777777" w:rsidR="00D6351B" w:rsidRDefault="00D6351B" w:rsidP="00135B5B">
      <w:pPr>
        <w:jc w:val="both"/>
        <w:rPr>
          <w:rFonts w:ascii="Century Gothic" w:hAnsi="Century Gothic" w:cs="Tahoma"/>
        </w:rPr>
      </w:pPr>
    </w:p>
    <w:p w14:paraId="71D24097" w14:textId="77777777" w:rsidR="00D6351B" w:rsidRDefault="00D6351B" w:rsidP="00135B5B">
      <w:pPr>
        <w:jc w:val="both"/>
        <w:rPr>
          <w:rFonts w:ascii="Century Gothic" w:hAnsi="Century Gothic" w:cs="Tahoma"/>
        </w:rPr>
      </w:pPr>
    </w:p>
    <w:p w14:paraId="2A04CE41" w14:textId="77777777" w:rsidR="00D6351B" w:rsidRDefault="00D6351B" w:rsidP="00135B5B">
      <w:pPr>
        <w:jc w:val="both"/>
        <w:rPr>
          <w:rFonts w:ascii="Century Gothic" w:hAnsi="Century Gothic" w:cs="Tahoma"/>
        </w:rPr>
      </w:pPr>
    </w:p>
    <w:p w14:paraId="15694E96" w14:textId="77777777" w:rsidR="00D6351B" w:rsidRDefault="00D6351B" w:rsidP="00135B5B">
      <w:pPr>
        <w:jc w:val="both"/>
        <w:rPr>
          <w:rFonts w:ascii="Century Gothic" w:hAnsi="Century Gothic" w:cs="Tahoma"/>
        </w:rPr>
      </w:pPr>
    </w:p>
    <w:p w14:paraId="03F88219" w14:textId="77777777" w:rsidR="00D6351B" w:rsidRDefault="00D6351B" w:rsidP="00135B5B">
      <w:pPr>
        <w:jc w:val="both"/>
        <w:rPr>
          <w:rFonts w:ascii="Century Gothic" w:hAnsi="Century Gothic" w:cs="Tahoma"/>
        </w:rPr>
      </w:pPr>
    </w:p>
    <w:p w14:paraId="6FA3B5FF" w14:textId="77777777" w:rsidR="00D6351B" w:rsidRDefault="00D6351B" w:rsidP="00135B5B">
      <w:pPr>
        <w:jc w:val="both"/>
        <w:rPr>
          <w:rFonts w:ascii="Century Gothic" w:hAnsi="Century Gothic" w:cs="Tahoma"/>
        </w:rPr>
      </w:pPr>
    </w:p>
    <w:p w14:paraId="7689EB53" w14:textId="77777777" w:rsidR="00D6351B" w:rsidRDefault="00D6351B" w:rsidP="00135B5B">
      <w:pPr>
        <w:jc w:val="both"/>
        <w:rPr>
          <w:rFonts w:ascii="Century Gothic" w:hAnsi="Century Gothic" w:cs="Tahoma"/>
        </w:rPr>
      </w:pPr>
    </w:p>
    <w:p w14:paraId="2415BA60" w14:textId="77777777" w:rsidR="00D6351B" w:rsidRDefault="00D6351B" w:rsidP="00135B5B">
      <w:pPr>
        <w:jc w:val="both"/>
        <w:rPr>
          <w:rFonts w:ascii="Century Gothic" w:hAnsi="Century Gothic" w:cs="Tahoma"/>
        </w:rPr>
      </w:pPr>
    </w:p>
    <w:p w14:paraId="709BCC04" w14:textId="77777777" w:rsidR="00D6351B" w:rsidRDefault="00D6351B" w:rsidP="00135B5B">
      <w:pPr>
        <w:jc w:val="both"/>
        <w:rPr>
          <w:rFonts w:ascii="Century Gothic" w:hAnsi="Century Gothic" w:cs="Tahoma"/>
        </w:rPr>
      </w:pPr>
    </w:p>
    <w:p w14:paraId="23EE98CF" w14:textId="77777777" w:rsidR="00D6351B" w:rsidRDefault="00D6351B" w:rsidP="00135B5B">
      <w:pPr>
        <w:jc w:val="both"/>
        <w:rPr>
          <w:rFonts w:ascii="Century Gothic" w:hAnsi="Century Gothic" w:cs="Tahoma"/>
        </w:rPr>
      </w:pPr>
    </w:p>
    <w:p w14:paraId="136911A5" w14:textId="77777777" w:rsidR="00D6351B" w:rsidRDefault="00D6351B" w:rsidP="00135B5B">
      <w:pPr>
        <w:jc w:val="both"/>
        <w:rPr>
          <w:rFonts w:ascii="Century Gothic" w:hAnsi="Century Gothic" w:cs="Tahoma"/>
        </w:rPr>
      </w:pPr>
    </w:p>
    <w:p w14:paraId="40D6B59E" w14:textId="77777777" w:rsidR="00D6351B" w:rsidRDefault="00D6351B" w:rsidP="00135B5B">
      <w:pPr>
        <w:jc w:val="both"/>
        <w:rPr>
          <w:rFonts w:ascii="Century Gothic" w:hAnsi="Century Gothic" w:cs="Tahoma"/>
        </w:rPr>
      </w:pPr>
    </w:p>
    <w:p w14:paraId="08023D9A" w14:textId="77777777" w:rsidR="00D6351B" w:rsidRDefault="00D6351B" w:rsidP="00135B5B">
      <w:pPr>
        <w:jc w:val="both"/>
        <w:rPr>
          <w:rFonts w:ascii="Century Gothic" w:hAnsi="Century Gothic" w:cs="Tahoma"/>
        </w:rPr>
      </w:pPr>
    </w:p>
    <w:p w14:paraId="5901F032" w14:textId="77777777" w:rsidR="00D6351B" w:rsidRDefault="00D6351B" w:rsidP="00135B5B">
      <w:pPr>
        <w:jc w:val="both"/>
        <w:rPr>
          <w:rFonts w:ascii="Century Gothic" w:hAnsi="Century Gothic" w:cs="Tahoma"/>
        </w:rPr>
      </w:pPr>
    </w:p>
    <w:p w14:paraId="3A68914B" w14:textId="77777777" w:rsidR="00D6351B" w:rsidRDefault="00D6351B" w:rsidP="00135B5B">
      <w:pPr>
        <w:jc w:val="both"/>
        <w:rPr>
          <w:rFonts w:ascii="Century Gothic" w:hAnsi="Century Gothic" w:cs="Tahoma"/>
        </w:rPr>
      </w:pPr>
    </w:p>
    <w:p w14:paraId="589ACFFF" w14:textId="77777777" w:rsidR="00D6351B" w:rsidRPr="00750BE5" w:rsidRDefault="00D6351B" w:rsidP="00135B5B">
      <w:pPr>
        <w:jc w:val="both"/>
        <w:rPr>
          <w:rFonts w:ascii="Century Gothic" w:hAnsi="Century Gothic" w:cs="Tahoma"/>
        </w:rPr>
      </w:pPr>
    </w:p>
    <w:tbl>
      <w:tblPr>
        <w:tblStyle w:val="Grilleclaire-Accent1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135B5B" w:rsidRPr="00750BE5" w14:paraId="73DC70A2" w14:textId="77777777" w:rsidTr="00FA7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62A5D1A" w14:textId="77777777" w:rsidR="00135B5B" w:rsidRPr="00750BE5" w:rsidRDefault="00135B5B" w:rsidP="00FA7E41">
            <w:pPr>
              <w:jc w:val="both"/>
              <w:rPr>
                <w:rFonts w:ascii="Century Gothic" w:hAnsi="Century Gothic" w:cs="Tahoma"/>
              </w:rPr>
            </w:pPr>
          </w:p>
          <w:p w14:paraId="624284C3" w14:textId="77777777" w:rsidR="00135B5B" w:rsidRPr="007248D1" w:rsidRDefault="00135B5B" w:rsidP="00FA7E41">
            <w:pPr>
              <w:jc w:val="both"/>
              <w:rPr>
                <w:rFonts w:ascii="Century Gothic" w:hAnsi="Century Gothic" w:cs="Tahoma"/>
                <w:b w:val="0"/>
                <w:sz w:val="21"/>
                <w:szCs w:val="21"/>
              </w:rPr>
            </w:pPr>
            <w:r w:rsidRPr="007248D1">
              <w:rPr>
                <w:rFonts w:ascii="Century Gothic" w:hAnsi="Century Gothic" w:cs="Tahoma"/>
                <w:sz w:val="21"/>
                <w:szCs w:val="21"/>
                <w:u w:val="single"/>
              </w:rPr>
              <w:t>Réglementation pertinente</w:t>
            </w:r>
            <w:r w:rsidRPr="007248D1">
              <w:rPr>
                <w:rFonts w:ascii="Century Gothic" w:hAnsi="Century Gothic" w:cs="Tahoma"/>
                <w:b w:val="0"/>
                <w:sz w:val="21"/>
                <w:szCs w:val="21"/>
              </w:rPr>
              <w:t xml:space="preserve"> : </w:t>
            </w:r>
          </w:p>
          <w:p w14:paraId="2CEC1045" w14:textId="77777777" w:rsidR="00135B5B" w:rsidRPr="007248D1" w:rsidRDefault="00135B5B" w:rsidP="00FA7E41">
            <w:pPr>
              <w:jc w:val="both"/>
              <w:rPr>
                <w:rFonts w:ascii="Century Gothic" w:hAnsi="Century Gothic" w:cs="Tahoma"/>
                <w:b w:val="0"/>
                <w:sz w:val="21"/>
                <w:szCs w:val="21"/>
              </w:rPr>
            </w:pPr>
          </w:p>
          <w:p w14:paraId="77390253" w14:textId="77777777" w:rsidR="00135B5B" w:rsidRPr="007248D1" w:rsidRDefault="00861A17" w:rsidP="00135B5B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Century Gothic" w:hAnsi="Century Gothic" w:cs="Tahoma"/>
                <w:sz w:val="21"/>
                <w:szCs w:val="21"/>
              </w:rPr>
            </w:pPr>
            <w:r w:rsidRPr="007248D1">
              <w:rPr>
                <w:rFonts w:ascii="Century Gothic" w:hAnsi="Century Gothic" w:cs="Tahoma"/>
                <w:b w:val="0"/>
                <w:sz w:val="21"/>
                <w:szCs w:val="21"/>
              </w:rPr>
              <w:t>L</w:t>
            </w:r>
            <w:r w:rsidR="00135B5B" w:rsidRPr="007248D1">
              <w:rPr>
                <w:rFonts w:ascii="Century Gothic" w:hAnsi="Century Gothic" w:cs="Tahoma"/>
                <w:b w:val="0"/>
                <w:sz w:val="21"/>
                <w:szCs w:val="21"/>
              </w:rPr>
              <w:t>oi du 17 juin 2016 relative aux marchés publics</w:t>
            </w:r>
            <w:r w:rsidRPr="007248D1">
              <w:rPr>
                <w:rFonts w:ascii="Century Gothic" w:hAnsi="Century Gothic" w:cs="Tahoma"/>
                <w:b w:val="0"/>
                <w:sz w:val="21"/>
                <w:szCs w:val="21"/>
              </w:rPr>
              <w:t xml:space="preserve"> et plus précisément :</w:t>
            </w:r>
          </w:p>
          <w:p w14:paraId="611B337F" w14:textId="77777777" w:rsidR="00D6351B" w:rsidRPr="007248D1" w:rsidRDefault="00D6351B" w:rsidP="00D6351B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Century Gothic" w:hAnsi="Century Gothic" w:cs="Tahoma"/>
                <w:b w:val="0"/>
                <w:sz w:val="21"/>
                <w:szCs w:val="21"/>
              </w:rPr>
            </w:pPr>
            <w:r w:rsidRPr="007248D1">
              <w:rPr>
                <w:rFonts w:ascii="Century Gothic" w:hAnsi="Century Gothic" w:cs="Tahoma"/>
                <w:b w:val="0"/>
                <w:sz w:val="21"/>
                <w:szCs w:val="21"/>
              </w:rPr>
              <w:t>A</w:t>
            </w:r>
            <w:r w:rsidR="00861A17" w:rsidRPr="007248D1">
              <w:rPr>
                <w:rFonts w:ascii="Century Gothic" w:hAnsi="Century Gothic" w:cs="Tahoma"/>
                <w:b w:val="0"/>
                <w:sz w:val="21"/>
                <w:szCs w:val="21"/>
              </w:rPr>
              <w:t>rticles 2 et 92</w:t>
            </w:r>
          </w:p>
          <w:p w14:paraId="6B936706" w14:textId="77777777" w:rsidR="00D6351B" w:rsidRPr="007248D1" w:rsidRDefault="00135B5B" w:rsidP="00D6351B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Century Gothic" w:hAnsi="Century Gothic" w:cs="Tahoma"/>
                <w:b w:val="0"/>
                <w:sz w:val="21"/>
                <w:szCs w:val="21"/>
              </w:rPr>
            </w:pPr>
            <w:r w:rsidRPr="007248D1">
              <w:rPr>
                <w:rFonts w:ascii="Century Gothic" w:hAnsi="Century Gothic" w:cs="Tahoma"/>
                <w:b w:val="0"/>
                <w:sz w:val="21"/>
                <w:szCs w:val="21"/>
              </w:rPr>
              <w:t>Chapitre 2 du titre 1, à l’exception des articles 12 et 14</w:t>
            </w:r>
          </w:p>
          <w:p w14:paraId="10E453DC" w14:textId="77777777" w:rsidR="00135B5B" w:rsidRPr="007248D1" w:rsidRDefault="00135B5B" w:rsidP="00D6351B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Century Gothic" w:hAnsi="Century Gothic" w:cs="Tahoma"/>
                <w:b w:val="0"/>
                <w:sz w:val="21"/>
                <w:szCs w:val="21"/>
              </w:rPr>
            </w:pPr>
            <w:r w:rsidRPr="007248D1">
              <w:rPr>
                <w:rFonts w:ascii="Century Gothic" w:hAnsi="Century Gothic" w:cs="Tahoma"/>
                <w:b w:val="0"/>
                <w:sz w:val="21"/>
                <w:szCs w:val="21"/>
              </w:rPr>
              <w:t>Chapitre 1</w:t>
            </w:r>
            <w:r w:rsidRPr="007248D1">
              <w:rPr>
                <w:rFonts w:ascii="Century Gothic" w:hAnsi="Century Gothic" w:cs="Tahoma"/>
                <w:b w:val="0"/>
                <w:sz w:val="21"/>
                <w:szCs w:val="21"/>
                <w:vertAlign w:val="superscript"/>
              </w:rPr>
              <w:t>er</w:t>
            </w:r>
            <w:r w:rsidRPr="007248D1">
              <w:rPr>
                <w:rFonts w:ascii="Century Gothic" w:hAnsi="Century Gothic" w:cs="Tahoma"/>
                <w:b w:val="0"/>
                <w:sz w:val="21"/>
                <w:szCs w:val="21"/>
              </w:rPr>
              <w:t xml:space="preserve"> du titre 2 </w:t>
            </w:r>
          </w:p>
          <w:p w14:paraId="2271CA02" w14:textId="4CE7B263" w:rsidR="00135B5B" w:rsidRPr="007248D1" w:rsidRDefault="00135B5B" w:rsidP="00135B5B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Century Gothic" w:hAnsi="Century Gothic" w:cs="Tahoma"/>
                <w:sz w:val="21"/>
                <w:szCs w:val="21"/>
              </w:rPr>
            </w:pPr>
            <w:r w:rsidRPr="007248D1">
              <w:rPr>
                <w:rFonts w:ascii="Century Gothic" w:hAnsi="Century Gothic" w:cs="Tahoma"/>
                <w:b w:val="0"/>
                <w:sz w:val="21"/>
                <w:szCs w:val="21"/>
              </w:rPr>
              <w:t>Articles 4, §</w:t>
            </w:r>
            <w:r w:rsidR="00D6351B" w:rsidRPr="007248D1">
              <w:rPr>
                <w:rFonts w:ascii="Century Gothic" w:hAnsi="Century Gothic" w:cs="Tahoma"/>
                <w:b w:val="0"/>
                <w:sz w:val="21"/>
                <w:szCs w:val="21"/>
              </w:rPr>
              <w:t>3</w:t>
            </w:r>
            <w:r w:rsidRPr="007248D1">
              <w:rPr>
                <w:rFonts w:ascii="Century Gothic" w:hAnsi="Century Gothic" w:cs="Tahoma"/>
                <w:b w:val="0"/>
                <w:sz w:val="21"/>
                <w:szCs w:val="21"/>
              </w:rPr>
              <w:t> ; 6 ; 7 et 124 de l’arrêté royal du 18 avril 2017 (ARP)</w:t>
            </w:r>
          </w:p>
          <w:p w14:paraId="025F7337" w14:textId="77777777" w:rsidR="00135B5B" w:rsidRPr="007248D1" w:rsidRDefault="00135B5B" w:rsidP="00135B5B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Century Gothic" w:hAnsi="Century Gothic" w:cs="Tahoma"/>
                <w:sz w:val="21"/>
                <w:szCs w:val="21"/>
              </w:rPr>
            </w:pPr>
            <w:r w:rsidRPr="007248D1">
              <w:rPr>
                <w:rFonts w:ascii="Century Gothic" w:hAnsi="Century Gothic" w:cs="Tahoma"/>
                <w:b w:val="0"/>
                <w:sz w:val="21"/>
                <w:szCs w:val="21"/>
              </w:rPr>
              <w:t>Articles 5, al. 2 et 6, §5 de l’arrêté royal du 14 janvier 2013 (RGE)</w:t>
            </w:r>
          </w:p>
          <w:p w14:paraId="22D3B935" w14:textId="77777777" w:rsidR="00135B5B" w:rsidRPr="007248D1" w:rsidRDefault="00135B5B" w:rsidP="00135B5B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Century Gothic" w:hAnsi="Century Gothic" w:cs="Tahoma"/>
                <w:sz w:val="21"/>
                <w:szCs w:val="21"/>
              </w:rPr>
            </w:pPr>
            <w:r w:rsidRPr="007248D1">
              <w:rPr>
                <w:rFonts w:ascii="Century Gothic" w:hAnsi="Century Gothic" w:cs="Tahoma"/>
                <w:b w:val="0"/>
                <w:sz w:val="21"/>
                <w:szCs w:val="21"/>
              </w:rPr>
              <w:t>Articles 29/1, §7 de la loi du 17 juin 2013 (motivation, information et voies de recours)</w:t>
            </w:r>
          </w:p>
          <w:p w14:paraId="2F74F0E3" w14:textId="77777777" w:rsidR="00135B5B" w:rsidRPr="007248D1" w:rsidRDefault="00135B5B" w:rsidP="00135B5B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Century Gothic" w:hAnsi="Century Gothic" w:cs="Tahoma"/>
                <w:sz w:val="21"/>
                <w:szCs w:val="21"/>
              </w:rPr>
            </w:pPr>
            <w:r w:rsidRPr="007248D1">
              <w:rPr>
                <w:rFonts w:ascii="Century Gothic" w:hAnsi="Century Gothic" w:cs="Tahoma"/>
                <w:b w:val="0"/>
                <w:sz w:val="21"/>
                <w:szCs w:val="21"/>
              </w:rPr>
              <w:t>Loi du 29 juillet 1991 relative à la motivation formelle des actes administratifs</w:t>
            </w:r>
          </w:p>
          <w:p w14:paraId="1547D836" w14:textId="77777777" w:rsidR="00135B5B" w:rsidRPr="007248D1" w:rsidRDefault="00135B5B" w:rsidP="00135B5B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Century Gothic" w:hAnsi="Century Gothic" w:cs="Tahoma"/>
                <w:sz w:val="21"/>
                <w:szCs w:val="21"/>
              </w:rPr>
            </w:pPr>
            <w:r w:rsidRPr="007248D1">
              <w:rPr>
                <w:rFonts w:ascii="Century Gothic" w:hAnsi="Century Gothic" w:cs="Tahoma"/>
                <w:b w:val="0"/>
                <w:sz w:val="21"/>
                <w:szCs w:val="21"/>
              </w:rPr>
              <w:t>Article 19, al.</w:t>
            </w:r>
            <w:r w:rsidR="00861A17" w:rsidRPr="007248D1">
              <w:rPr>
                <w:rFonts w:ascii="Century Gothic" w:hAnsi="Century Gothic" w:cs="Tahoma"/>
                <w:b w:val="0"/>
                <w:sz w:val="21"/>
                <w:szCs w:val="21"/>
              </w:rPr>
              <w:t>2 des</w:t>
            </w:r>
            <w:r w:rsidRPr="007248D1">
              <w:rPr>
                <w:rFonts w:ascii="Century Gothic" w:hAnsi="Century Gothic" w:cs="Tahoma"/>
                <w:b w:val="0"/>
                <w:sz w:val="21"/>
                <w:szCs w:val="21"/>
              </w:rPr>
              <w:t xml:space="preserve"> lois coordonnées relatives au Conseil d’Etat</w:t>
            </w:r>
          </w:p>
          <w:p w14:paraId="003E5F58" w14:textId="77777777" w:rsidR="00135B5B" w:rsidRPr="00750BE5" w:rsidRDefault="00135B5B" w:rsidP="00135B5B">
            <w:pPr>
              <w:pStyle w:val="Paragraphedeliste"/>
              <w:jc w:val="both"/>
              <w:rPr>
                <w:rFonts w:ascii="Century Gothic" w:hAnsi="Century Gothic" w:cs="Tahoma"/>
              </w:rPr>
            </w:pPr>
          </w:p>
        </w:tc>
      </w:tr>
    </w:tbl>
    <w:p w14:paraId="6AD9E37F" w14:textId="77777777" w:rsidR="00C56136" w:rsidRDefault="00C56136" w:rsidP="00F63D73">
      <w:pPr>
        <w:jc w:val="both"/>
        <w:rPr>
          <w:rFonts w:ascii="Century Gothic" w:hAnsi="Century Gothic"/>
          <w:u w:val="single"/>
        </w:rPr>
      </w:pPr>
    </w:p>
    <w:p w14:paraId="43F975E6" w14:textId="77777777" w:rsidR="00E35DBB" w:rsidRPr="00135B5B" w:rsidRDefault="00C56136" w:rsidP="00135B5B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Style w:val="Titre1Car"/>
        </w:rPr>
      </w:pPr>
      <w:bookmarkStart w:id="0" w:name="_Toc17296952"/>
      <w:bookmarkStart w:id="1" w:name="_Toc58491561"/>
      <w:r w:rsidRPr="00135B5B">
        <w:rPr>
          <w:rStyle w:val="Titre1Car"/>
        </w:rPr>
        <w:t xml:space="preserve">En quoi consiste un </w:t>
      </w:r>
      <w:r w:rsidR="004F0EA9" w:rsidRPr="00135B5B">
        <w:rPr>
          <w:rStyle w:val="Titre1Car"/>
        </w:rPr>
        <w:t>marché public de faible montant ?</w:t>
      </w:r>
      <w:bookmarkEnd w:id="0"/>
      <w:bookmarkEnd w:id="1"/>
    </w:p>
    <w:p w14:paraId="542CCEA5" w14:textId="77777777" w:rsidR="00A82952" w:rsidRPr="00334642" w:rsidRDefault="00A82952" w:rsidP="003B5338">
      <w:pPr>
        <w:spacing w:after="0"/>
        <w:jc w:val="both"/>
        <w:rPr>
          <w:rFonts w:ascii="Century Gothic" w:hAnsi="Century Gothic"/>
        </w:rPr>
      </w:pPr>
    </w:p>
    <w:p w14:paraId="560084D4" w14:textId="77777777" w:rsidR="00C56136" w:rsidRPr="007248D1" w:rsidRDefault="00C56136" w:rsidP="00C56136">
      <w:pPr>
        <w:spacing w:after="0"/>
        <w:jc w:val="both"/>
        <w:rPr>
          <w:rFonts w:ascii="Century Gothic" w:hAnsi="Century Gothic"/>
          <w:sz w:val="21"/>
          <w:szCs w:val="21"/>
        </w:rPr>
      </w:pPr>
      <w:r w:rsidRPr="007248D1">
        <w:rPr>
          <w:rFonts w:ascii="Century Gothic" w:hAnsi="Century Gothic"/>
          <w:sz w:val="21"/>
          <w:szCs w:val="21"/>
        </w:rPr>
        <w:t xml:space="preserve">Un marché de </w:t>
      </w:r>
      <w:r w:rsidR="006D2482" w:rsidRPr="007248D1">
        <w:rPr>
          <w:rFonts w:ascii="Century Gothic" w:hAnsi="Century Gothic"/>
          <w:sz w:val="21"/>
          <w:szCs w:val="21"/>
        </w:rPr>
        <w:t>faible</w:t>
      </w:r>
      <w:r w:rsidRPr="007248D1">
        <w:rPr>
          <w:rFonts w:ascii="Century Gothic" w:hAnsi="Century Gothic"/>
          <w:sz w:val="21"/>
          <w:szCs w:val="21"/>
        </w:rPr>
        <w:t xml:space="preserve"> montant est un </w:t>
      </w:r>
      <w:r w:rsidR="004F0EA9" w:rsidRPr="007248D1">
        <w:rPr>
          <w:rFonts w:ascii="Century Gothic" w:hAnsi="Century Gothic"/>
          <w:sz w:val="21"/>
          <w:szCs w:val="21"/>
        </w:rPr>
        <w:t xml:space="preserve">marché dont le </w:t>
      </w:r>
      <w:r w:rsidR="004F0EA9" w:rsidRPr="00A342CB">
        <w:rPr>
          <w:rFonts w:ascii="Century Gothic" w:hAnsi="Century Gothic"/>
          <w:b/>
          <w:sz w:val="21"/>
          <w:szCs w:val="21"/>
        </w:rPr>
        <w:t>montant estimé</w:t>
      </w:r>
      <w:r w:rsidR="004F0EA9" w:rsidRPr="007248D1">
        <w:rPr>
          <w:rFonts w:ascii="Century Gothic" w:hAnsi="Century Gothic"/>
          <w:sz w:val="21"/>
          <w:szCs w:val="21"/>
        </w:rPr>
        <w:t xml:space="preserve"> est inférieur à </w:t>
      </w:r>
      <w:r w:rsidR="004F0EA9" w:rsidRPr="007248D1">
        <w:rPr>
          <w:rFonts w:ascii="Century Gothic" w:hAnsi="Century Gothic"/>
          <w:b/>
          <w:sz w:val="21"/>
          <w:szCs w:val="21"/>
        </w:rPr>
        <w:t>30.000 euros</w:t>
      </w:r>
      <w:r w:rsidR="004F0EA9" w:rsidRPr="007248D1">
        <w:rPr>
          <w:rFonts w:ascii="Century Gothic" w:hAnsi="Century Gothic"/>
          <w:sz w:val="21"/>
          <w:szCs w:val="21"/>
        </w:rPr>
        <w:t xml:space="preserve"> HTVA</w:t>
      </w:r>
      <w:r w:rsidR="00543C3D" w:rsidRPr="007248D1">
        <w:rPr>
          <w:rFonts w:ascii="Century Gothic" w:hAnsi="Century Gothic"/>
          <w:sz w:val="21"/>
          <w:szCs w:val="21"/>
        </w:rPr>
        <w:t>.</w:t>
      </w:r>
      <w:r w:rsidRPr="007248D1">
        <w:rPr>
          <w:rFonts w:ascii="Century Gothic" w:hAnsi="Century Gothic"/>
          <w:sz w:val="21"/>
          <w:szCs w:val="21"/>
        </w:rPr>
        <w:t xml:space="preserve"> Il est soumis à u</w:t>
      </w:r>
      <w:r w:rsidR="00543C3D" w:rsidRPr="007248D1">
        <w:rPr>
          <w:rFonts w:ascii="Century Gothic" w:hAnsi="Century Gothic"/>
          <w:sz w:val="21"/>
          <w:szCs w:val="21"/>
        </w:rPr>
        <w:t xml:space="preserve">n </w:t>
      </w:r>
      <w:r w:rsidR="00543C3D" w:rsidRPr="007248D1">
        <w:rPr>
          <w:rFonts w:ascii="Century Gothic" w:hAnsi="Century Gothic"/>
          <w:b/>
          <w:sz w:val="21"/>
          <w:szCs w:val="21"/>
        </w:rPr>
        <w:t xml:space="preserve">régime </w:t>
      </w:r>
      <w:r w:rsidR="00F05185" w:rsidRPr="007248D1">
        <w:rPr>
          <w:rFonts w:ascii="Century Gothic" w:hAnsi="Century Gothic"/>
          <w:b/>
          <w:sz w:val="21"/>
          <w:szCs w:val="21"/>
        </w:rPr>
        <w:t xml:space="preserve">juridique </w:t>
      </w:r>
      <w:r w:rsidR="00543C3D" w:rsidRPr="007248D1">
        <w:rPr>
          <w:rFonts w:ascii="Century Gothic" w:hAnsi="Century Gothic"/>
          <w:b/>
          <w:sz w:val="21"/>
          <w:szCs w:val="21"/>
        </w:rPr>
        <w:t>assoupli</w:t>
      </w:r>
      <w:r w:rsidRPr="007248D1">
        <w:rPr>
          <w:rFonts w:ascii="Century Gothic" w:hAnsi="Century Gothic"/>
          <w:sz w:val="21"/>
          <w:szCs w:val="21"/>
        </w:rPr>
        <w:t>.</w:t>
      </w:r>
    </w:p>
    <w:p w14:paraId="6CF4A0A4" w14:textId="77777777" w:rsidR="00C56136" w:rsidRPr="00135B5B" w:rsidRDefault="00C56136" w:rsidP="00135B5B">
      <w:pPr>
        <w:pStyle w:val="Titre1"/>
        <w:numPr>
          <w:ilvl w:val="0"/>
          <w:numId w:val="15"/>
        </w:numPr>
        <w:rPr>
          <w:rFonts w:eastAsia="Times New Roman"/>
          <w:lang w:val="fr-FR" w:eastAsia="fr-FR"/>
        </w:rPr>
      </w:pPr>
      <w:bookmarkStart w:id="2" w:name="_Toc17296953"/>
      <w:bookmarkStart w:id="3" w:name="_Toc58491562"/>
      <w:r w:rsidRPr="00135B5B">
        <w:rPr>
          <w:rFonts w:eastAsia="Times New Roman"/>
          <w:lang w:val="fr-FR" w:eastAsia="fr-FR"/>
        </w:rPr>
        <w:t>En quoi consiste le régime assoupli ?</w:t>
      </w:r>
      <w:bookmarkEnd w:id="2"/>
      <w:bookmarkEnd w:id="3"/>
    </w:p>
    <w:p w14:paraId="7FC3956E" w14:textId="77777777" w:rsidR="003B5338" w:rsidRPr="00334642" w:rsidRDefault="003B5338" w:rsidP="00C56136">
      <w:pPr>
        <w:pStyle w:val="Default"/>
        <w:spacing w:after="17"/>
        <w:jc w:val="both"/>
        <w:rPr>
          <w:rFonts w:ascii="Century Gothic" w:hAnsi="Century Gothic"/>
          <w:sz w:val="22"/>
          <w:szCs w:val="22"/>
        </w:rPr>
      </w:pPr>
    </w:p>
    <w:p w14:paraId="0D48A5DC" w14:textId="77777777" w:rsidR="00671233" w:rsidRPr="007248D1" w:rsidRDefault="00671233" w:rsidP="00671233">
      <w:pPr>
        <w:pStyle w:val="Default"/>
        <w:spacing w:after="17"/>
        <w:jc w:val="both"/>
        <w:rPr>
          <w:rFonts w:ascii="Century Gothic" w:hAnsi="Century Gothic"/>
          <w:sz w:val="21"/>
          <w:szCs w:val="21"/>
        </w:rPr>
      </w:pPr>
      <w:r w:rsidRPr="007248D1">
        <w:rPr>
          <w:rFonts w:ascii="Century Gothic" w:hAnsi="Century Gothic"/>
          <w:sz w:val="21"/>
          <w:szCs w:val="21"/>
        </w:rPr>
        <w:t>Les marchés de faible montant sont soumis à un régime particulièrement souple puisque qu’ils sont soumis uniquement à quelques dispositions générales de la loi du 17 juin 2016 relative aux marchés publics</w:t>
      </w:r>
      <w:r w:rsidR="00861A17" w:rsidRPr="007248D1">
        <w:rPr>
          <w:rFonts w:ascii="Century Gothic" w:hAnsi="Century Gothic"/>
          <w:sz w:val="21"/>
          <w:szCs w:val="21"/>
        </w:rPr>
        <w:t>,</w:t>
      </w:r>
      <w:r w:rsidRPr="007248D1">
        <w:rPr>
          <w:rFonts w:ascii="Century Gothic" w:hAnsi="Century Gothic"/>
          <w:sz w:val="21"/>
          <w:szCs w:val="21"/>
        </w:rPr>
        <w:t xml:space="preserve"> à savoir : </w:t>
      </w:r>
    </w:p>
    <w:p w14:paraId="370F9701" w14:textId="77777777" w:rsidR="00671233" w:rsidRPr="007248D1" w:rsidRDefault="00671233" w:rsidP="00671233">
      <w:pPr>
        <w:pStyle w:val="Default"/>
        <w:spacing w:after="17"/>
        <w:jc w:val="both"/>
        <w:rPr>
          <w:rFonts w:ascii="Century Gothic" w:hAnsi="Century Gothic"/>
          <w:sz w:val="21"/>
          <w:szCs w:val="21"/>
        </w:rPr>
      </w:pPr>
    </w:p>
    <w:p w14:paraId="6C20D009" w14:textId="77777777" w:rsidR="006944EB" w:rsidRPr="007248D1" w:rsidRDefault="00671233">
      <w:pPr>
        <w:pStyle w:val="Default"/>
        <w:numPr>
          <w:ilvl w:val="0"/>
          <w:numId w:val="7"/>
        </w:numPr>
        <w:spacing w:after="17"/>
        <w:jc w:val="both"/>
        <w:rPr>
          <w:rFonts w:ascii="Century Gothic" w:hAnsi="Century Gothic"/>
          <w:sz w:val="21"/>
          <w:szCs w:val="21"/>
        </w:rPr>
      </w:pPr>
      <w:r w:rsidRPr="007248D1">
        <w:rPr>
          <w:rFonts w:ascii="Century Gothic" w:hAnsi="Century Gothic"/>
          <w:sz w:val="21"/>
          <w:szCs w:val="21"/>
        </w:rPr>
        <w:t xml:space="preserve">Celles relatives aux </w:t>
      </w:r>
      <w:r w:rsidRPr="00B41931">
        <w:rPr>
          <w:rFonts w:ascii="Century Gothic" w:hAnsi="Century Gothic"/>
          <w:b/>
          <w:sz w:val="21"/>
          <w:szCs w:val="21"/>
        </w:rPr>
        <w:t>définitions</w:t>
      </w:r>
      <w:r w:rsidRPr="007248D1">
        <w:rPr>
          <w:rFonts w:ascii="Century Gothic" w:hAnsi="Century Gothic"/>
          <w:sz w:val="21"/>
          <w:szCs w:val="21"/>
        </w:rPr>
        <w:t xml:space="preserve"> ; </w:t>
      </w:r>
    </w:p>
    <w:p w14:paraId="41D9DED5" w14:textId="77777777" w:rsidR="00D6351B" w:rsidRPr="007248D1" w:rsidRDefault="00D6351B" w:rsidP="00B41931">
      <w:pPr>
        <w:pStyle w:val="Default"/>
        <w:spacing w:after="17"/>
        <w:ind w:left="720"/>
        <w:jc w:val="both"/>
        <w:rPr>
          <w:rFonts w:ascii="Century Gothic" w:hAnsi="Century Gothic"/>
          <w:sz w:val="21"/>
          <w:szCs w:val="21"/>
        </w:rPr>
      </w:pPr>
    </w:p>
    <w:p w14:paraId="5E466B11" w14:textId="6FB35ADA" w:rsidR="006944EB" w:rsidRPr="007248D1" w:rsidRDefault="00671233">
      <w:pPr>
        <w:pStyle w:val="Default"/>
        <w:numPr>
          <w:ilvl w:val="0"/>
          <w:numId w:val="7"/>
        </w:numPr>
        <w:spacing w:after="17"/>
        <w:jc w:val="both"/>
        <w:rPr>
          <w:rFonts w:ascii="Century Gothic" w:hAnsi="Century Gothic"/>
          <w:sz w:val="21"/>
          <w:szCs w:val="21"/>
        </w:rPr>
      </w:pPr>
      <w:r w:rsidRPr="007248D1">
        <w:rPr>
          <w:rFonts w:ascii="Century Gothic" w:hAnsi="Century Gothic"/>
          <w:sz w:val="21"/>
          <w:szCs w:val="21"/>
        </w:rPr>
        <w:t xml:space="preserve">Celles relatives à </w:t>
      </w:r>
      <w:r w:rsidRPr="00B41931">
        <w:rPr>
          <w:rFonts w:ascii="Century Gothic" w:hAnsi="Century Gothic"/>
          <w:b/>
          <w:sz w:val="21"/>
          <w:szCs w:val="21"/>
        </w:rPr>
        <w:t>certains principes généraux</w:t>
      </w:r>
      <w:r w:rsidRPr="007248D1">
        <w:rPr>
          <w:rFonts w:ascii="Century Gothic" w:hAnsi="Century Gothic"/>
          <w:sz w:val="21"/>
          <w:szCs w:val="21"/>
        </w:rPr>
        <w:t xml:space="preserve">, à savoir : </w:t>
      </w:r>
      <w:r w:rsidR="000E14CF" w:rsidRPr="007248D1">
        <w:rPr>
          <w:rFonts w:ascii="Century Gothic" w:hAnsi="Century Gothic"/>
          <w:sz w:val="21"/>
          <w:szCs w:val="21"/>
        </w:rPr>
        <w:t>l</w:t>
      </w:r>
      <w:r w:rsidRPr="007248D1">
        <w:rPr>
          <w:rFonts w:ascii="Century Gothic" w:hAnsi="Century Gothic"/>
          <w:sz w:val="21"/>
          <w:szCs w:val="21"/>
        </w:rPr>
        <w:t>e principe d’égalité, de non-discrimination, de transparence et de proportionnalité</w:t>
      </w:r>
      <w:r w:rsidR="000E14CF" w:rsidRPr="007248D1">
        <w:rPr>
          <w:rFonts w:ascii="Century Gothic" w:hAnsi="Century Gothic"/>
          <w:sz w:val="21"/>
          <w:szCs w:val="21"/>
        </w:rPr>
        <w:t> ; l</w:t>
      </w:r>
      <w:r w:rsidRPr="007248D1">
        <w:rPr>
          <w:rFonts w:ascii="Century Gothic" w:hAnsi="Century Gothic"/>
          <w:sz w:val="21"/>
          <w:szCs w:val="21"/>
        </w:rPr>
        <w:t>a soustraction au champ d’application et limitation artificielle de la concurrence</w:t>
      </w:r>
      <w:r w:rsidR="000E14CF" w:rsidRPr="007248D1">
        <w:rPr>
          <w:rFonts w:ascii="Century Gothic" w:hAnsi="Century Gothic"/>
          <w:sz w:val="21"/>
          <w:szCs w:val="21"/>
        </w:rPr>
        <w:t> ; l</w:t>
      </w:r>
      <w:r w:rsidRPr="007248D1">
        <w:rPr>
          <w:rFonts w:ascii="Century Gothic" w:hAnsi="Century Gothic"/>
          <w:sz w:val="21"/>
          <w:szCs w:val="21"/>
        </w:rPr>
        <w:t>es conflits d’intérêts</w:t>
      </w:r>
      <w:r w:rsidR="000E14CF" w:rsidRPr="007248D1">
        <w:rPr>
          <w:rFonts w:ascii="Century Gothic" w:hAnsi="Century Gothic"/>
          <w:sz w:val="21"/>
          <w:szCs w:val="21"/>
        </w:rPr>
        <w:t> ; l</w:t>
      </w:r>
      <w:r w:rsidRPr="007248D1">
        <w:rPr>
          <w:rFonts w:ascii="Century Gothic" w:hAnsi="Century Gothic"/>
          <w:sz w:val="21"/>
          <w:szCs w:val="21"/>
        </w:rPr>
        <w:t xml:space="preserve">e </w:t>
      </w:r>
      <w:r w:rsidR="000E14CF" w:rsidRPr="007248D1">
        <w:rPr>
          <w:rFonts w:ascii="Century Gothic" w:hAnsi="Century Gothic"/>
          <w:sz w:val="21"/>
          <w:szCs w:val="21"/>
        </w:rPr>
        <w:t>r</w:t>
      </w:r>
      <w:r w:rsidRPr="007248D1">
        <w:rPr>
          <w:rFonts w:ascii="Century Gothic" w:hAnsi="Century Gothic"/>
          <w:sz w:val="21"/>
          <w:szCs w:val="21"/>
        </w:rPr>
        <w:t>espect du droit environnemental, social et du travail ;</w:t>
      </w:r>
      <w:r w:rsidR="000E14CF" w:rsidRPr="007248D1">
        <w:rPr>
          <w:rFonts w:ascii="Century Gothic" w:hAnsi="Century Gothic"/>
          <w:sz w:val="21"/>
          <w:szCs w:val="21"/>
        </w:rPr>
        <w:t xml:space="preserve"> l</w:t>
      </w:r>
      <w:r w:rsidRPr="007248D1">
        <w:rPr>
          <w:rFonts w:ascii="Century Gothic" w:hAnsi="Century Gothic"/>
          <w:sz w:val="21"/>
          <w:szCs w:val="21"/>
        </w:rPr>
        <w:t>es opérateurs économiques ;</w:t>
      </w:r>
      <w:r w:rsidR="000E14CF" w:rsidRPr="007248D1">
        <w:rPr>
          <w:rFonts w:ascii="Century Gothic" w:hAnsi="Century Gothic"/>
          <w:sz w:val="21"/>
          <w:szCs w:val="21"/>
        </w:rPr>
        <w:t xml:space="preserve"> l</w:t>
      </w:r>
      <w:r w:rsidRPr="007248D1">
        <w:rPr>
          <w:rFonts w:ascii="Century Gothic" w:hAnsi="Century Gothic"/>
          <w:sz w:val="21"/>
          <w:szCs w:val="21"/>
        </w:rPr>
        <w:t xml:space="preserve">e principe du forfait ; </w:t>
      </w:r>
      <w:r w:rsidR="000E14CF" w:rsidRPr="007248D1">
        <w:rPr>
          <w:rFonts w:ascii="Century Gothic" w:hAnsi="Century Gothic"/>
          <w:sz w:val="21"/>
          <w:szCs w:val="21"/>
        </w:rPr>
        <w:t>l</w:t>
      </w:r>
      <w:r w:rsidRPr="007248D1">
        <w:rPr>
          <w:rFonts w:ascii="Century Gothic" w:hAnsi="Century Gothic"/>
          <w:sz w:val="21"/>
          <w:szCs w:val="21"/>
        </w:rPr>
        <w:t xml:space="preserve">a révision des prix ; </w:t>
      </w:r>
      <w:r w:rsidR="000E14CF" w:rsidRPr="007248D1">
        <w:rPr>
          <w:rFonts w:ascii="Century Gothic" w:hAnsi="Century Gothic"/>
          <w:sz w:val="21"/>
          <w:szCs w:val="21"/>
        </w:rPr>
        <w:t>b</w:t>
      </w:r>
      <w:r w:rsidRPr="007248D1">
        <w:rPr>
          <w:rFonts w:ascii="Century Gothic" w:hAnsi="Century Gothic"/>
          <w:sz w:val="21"/>
          <w:szCs w:val="21"/>
        </w:rPr>
        <w:t xml:space="preserve">ouleversement de l’équilibre contractuel ; </w:t>
      </w:r>
      <w:r w:rsidR="000E14CF" w:rsidRPr="007248D1">
        <w:rPr>
          <w:rFonts w:ascii="Century Gothic" w:hAnsi="Century Gothic"/>
          <w:sz w:val="21"/>
          <w:szCs w:val="21"/>
        </w:rPr>
        <w:t>l</w:t>
      </w:r>
      <w:r w:rsidRPr="007248D1">
        <w:rPr>
          <w:rFonts w:ascii="Century Gothic" w:hAnsi="Century Gothic"/>
          <w:sz w:val="21"/>
          <w:szCs w:val="21"/>
        </w:rPr>
        <w:t xml:space="preserve">a confidentialité ; </w:t>
      </w:r>
      <w:r w:rsidR="000E14CF" w:rsidRPr="007248D1">
        <w:rPr>
          <w:rFonts w:ascii="Century Gothic" w:hAnsi="Century Gothic"/>
          <w:sz w:val="21"/>
          <w:szCs w:val="21"/>
        </w:rPr>
        <w:t>les m</w:t>
      </w:r>
      <w:r w:rsidRPr="007248D1">
        <w:rPr>
          <w:rFonts w:ascii="Century Gothic" w:hAnsi="Century Gothic"/>
          <w:sz w:val="21"/>
          <w:szCs w:val="21"/>
        </w:rPr>
        <w:t xml:space="preserve">archés réservés ; </w:t>
      </w:r>
      <w:r w:rsidR="000E14CF" w:rsidRPr="007248D1">
        <w:rPr>
          <w:rFonts w:ascii="Century Gothic" w:hAnsi="Century Gothic"/>
          <w:sz w:val="21"/>
          <w:szCs w:val="21"/>
        </w:rPr>
        <w:t>l’e</w:t>
      </w:r>
      <w:r w:rsidRPr="007248D1">
        <w:rPr>
          <w:rFonts w:ascii="Century Gothic" w:hAnsi="Century Gothic"/>
          <w:sz w:val="21"/>
          <w:szCs w:val="21"/>
        </w:rPr>
        <w:t>stimation du montant du marché</w:t>
      </w:r>
      <w:r w:rsidR="000E14CF" w:rsidRPr="007248D1">
        <w:rPr>
          <w:rFonts w:ascii="Century Gothic" w:hAnsi="Century Gothic"/>
          <w:sz w:val="21"/>
          <w:szCs w:val="21"/>
        </w:rPr>
        <w:t>.</w:t>
      </w:r>
    </w:p>
    <w:p w14:paraId="4E865546" w14:textId="77777777" w:rsidR="00D6351B" w:rsidRPr="007248D1" w:rsidRDefault="00D6351B" w:rsidP="00B41931">
      <w:pPr>
        <w:pStyle w:val="Default"/>
        <w:spacing w:after="17"/>
        <w:ind w:left="720"/>
        <w:jc w:val="both"/>
        <w:rPr>
          <w:rFonts w:ascii="Century Gothic" w:hAnsi="Century Gothic"/>
          <w:sz w:val="21"/>
          <w:szCs w:val="21"/>
        </w:rPr>
      </w:pPr>
    </w:p>
    <w:p w14:paraId="12824010" w14:textId="77777777" w:rsidR="006944EB" w:rsidRPr="007248D1" w:rsidRDefault="000E14CF">
      <w:pPr>
        <w:pStyle w:val="Default"/>
        <w:numPr>
          <w:ilvl w:val="0"/>
          <w:numId w:val="7"/>
        </w:numPr>
        <w:spacing w:after="17"/>
        <w:jc w:val="both"/>
        <w:rPr>
          <w:rFonts w:ascii="Century Gothic" w:hAnsi="Century Gothic"/>
          <w:sz w:val="21"/>
          <w:szCs w:val="21"/>
        </w:rPr>
      </w:pPr>
      <w:r w:rsidRPr="007248D1">
        <w:rPr>
          <w:rFonts w:ascii="Century Gothic" w:hAnsi="Century Gothic"/>
          <w:sz w:val="21"/>
          <w:szCs w:val="21"/>
        </w:rPr>
        <w:t xml:space="preserve">Celles relatives au </w:t>
      </w:r>
      <w:r w:rsidRPr="00B41931">
        <w:rPr>
          <w:rFonts w:ascii="Century Gothic" w:hAnsi="Century Gothic"/>
          <w:b/>
          <w:sz w:val="21"/>
          <w:szCs w:val="21"/>
        </w:rPr>
        <w:t>champ d’application</w:t>
      </w:r>
      <w:r w:rsidR="00D6351B" w:rsidRPr="007248D1">
        <w:rPr>
          <w:rFonts w:ascii="Century Gothic" w:hAnsi="Century Gothic"/>
          <w:b/>
          <w:sz w:val="21"/>
          <w:szCs w:val="21"/>
        </w:rPr>
        <w:t>.</w:t>
      </w:r>
    </w:p>
    <w:p w14:paraId="29E0734A" w14:textId="77777777" w:rsidR="006944EB" w:rsidRPr="007248D1" w:rsidRDefault="006944EB">
      <w:pPr>
        <w:pStyle w:val="Default"/>
        <w:spacing w:after="17"/>
        <w:ind w:left="720"/>
        <w:jc w:val="both"/>
        <w:rPr>
          <w:rFonts w:ascii="Century Gothic" w:hAnsi="Century Gothic"/>
          <w:sz w:val="21"/>
          <w:szCs w:val="21"/>
        </w:rPr>
      </w:pPr>
    </w:p>
    <w:p w14:paraId="22B3B0AE" w14:textId="59BF1A44" w:rsidR="00135B5B" w:rsidRDefault="00BF39EC" w:rsidP="00135B5B">
      <w:pPr>
        <w:spacing w:after="0"/>
        <w:jc w:val="both"/>
        <w:rPr>
          <w:rFonts w:ascii="Century Gothic" w:hAnsi="Century Gothic"/>
          <w:sz w:val="21"/>
          <w:szCs w:val="21"/>
        </w:rPr>
      </w:pPr>
      <w:r w:rsidRPr="007248D1">
        <w:rPr>
          <w:rFonts w:ascii="Century Gothic" w:hAnsi="Century Gothic"/>
          <w:sz w:val="21"/>
          <w:szCs w:val="21"/>
        </w:rPr>
        <w:t xml:space="preserve">Le calcul </w:t>
      </w:r>
      <w:r w:rsidR="003E4285" w:rsidRPr="007248D1">
        <w:rPr>
          <w:rFonts w:ascii="Century Gothic" w:hAnsi="Century Gothic"/>
          <w:sz w:val="21"/>
          <w:szCs w:val="21"/>
        </w:rPr>
        <w:t xml:space="preserve">du </w:t>
      </w:r>
      <w:r w:rsidR="00CC486F" w:rsidRPr="007248D1">
        <w:rPr>
          <w:rFonts w:ascii="Century Gothic" w:hAnsi="Century Gothic"/>
          <w:sz w:val="21"/>
          <w:szCs w:val="21"/>
        </w:rPr>
        <w:t>montant estimé</w:t>
      </w:r>
      <w:r w:rsidRPr="007248D1">
        <w:rPr>
          <w:rFonts w:ascii="Century Gothic" w:hAnsi="Century Gothic"/>
          <w:sz w:val="21"/>
          <w:szCs w:val="21"/>
        </w:rPr>
        <w:t xml:space="preserve"> du marché de faible montant se fait </w:t>
      </w:r>
      <w:r w:rsidR="00CC486F" w:rsidRPr="007248D1">
        <w:rPr>
          <w:rFonts w:ascii="Century Gothic" w:hAnsi="Century Gothic"/>
          <w:sz w:val="21"/>
          <w:szCs w:val="21"/>
        </w:rPr>
        <w:t xml:space="preserve">conformément au principe général d’estimation du montant du marché </w:t>
      </w:r>
      <w:r w:rsidR="003E4285" w:rsidRPr="007248D1">
        <w:rPr>
          <w:rFonts w:ascii="Century Gothic" w:hAnsi="Century Gothic"/>
          <w:sz w:val="21"/>
          <w:szCs w:val="21"/>
        </w:rPr>
        <w:t>c’est-à-dire</w:t>
      </w:r>
      <w:r w:rsidRPr="007248D1">
        <w:rPr>
          <w:rFonts w:ascii="Century Gothic" w:hAnsi="Century Gothic"/>
          <w:sz w:val="21"/>
          <w:szCs w:val="21"/>
        </w:rPr>
        <w:t xml:space="preserve"> en tenant compte de la valeur total</w:t>
      </w:r>
      <w:r w:rsidR="00CC486F" w:rsidRPr="007248D1">
        <w:rPr>
          <w:rFonts w:ascii="Century Gothic" w:hAnsi="Century Gothic"/>
          <w:sz w:val="21"/>
          <w:szCs w:val="21"/>
        </w:rPr>
        <w:t>e</w:t>
      </w:r>
      <w:r w:rsidRPr="007248D1">
        <w:rPr>
          <w:rFonts w:ascii="Century Gothic" w:hAnsi="Century Gothic"/>
          <w:sz w:val="21"/>
          <w:szCs w:val="21"/>
        </w:rPr>
        <w:t xml:space="preserve"> du marché sur sa durée totale</w:t>
      </w:r>
      <w:r w:rsidR="00CC486F" w:rsidRPr="007248D1">
        <w:rPr>
          <w:rFonts w:ascii="Century Gothic" w:hAnsi="Century Gothic"/>
          <w:sz w:val="21"/>
          <w:szCs w:val="21"/>
        </w:rPr>
        <w:t xml:space="preserve">, en ce compris d’autres éléments tels que les lots éventuels, </w:t>
      </w:r>
      <w:r w:rsidR="00334642" w:rsidRPr="007248D1">
        <w:rPr>
          <w:rFonts w:ascii="Century Gothic" w:hAnsi="Century Gothic"/>
          <w:sz w:val="21"/>
          <w:szCs w:val="21"/>
        </w:rPr>
        <w:t xml:space="preserve">les reconductions, </w:t>
      </w:r>
      <w:r w:rsidR="00CC486F" w:rsidRPr="007248D1">
        <w:rPr>
          <w:rFonts w:ascii="Century Gothic" w:hAnsi="Century Gothic"/>
          <w:sz w:val="21"/>
          <w:szCs w:val="21"/>
        </w:rPr>
        <w:t xml:space="preserve">les tranches, </w:t>
      </w:r>
      <w:r w:rsidR="00135B5B" w:rsidRPr="007248D1">
        <w:rPr>
          <w:rFonts w:ascii="Century Gothic" w:hAnsi="Century Gothic"/>
          <w:sz w:val="21"/>
          <w:szCs w:val="21"/>
        </w:rPr>
        <w:t>etc.</w:t>
      </w:r>
      <w:r w:rsidR="00CC486F" w:rsidRPr="007248D1">
        <w:rPr>
          <w:rFonts w:ascii="Century Gothic" w:hAnsi="Century Gothic"/>
          <w:sz w:val="21"/>
          <w:szCs w:val="21"/>
        </w:rPr>
        <w:t>.</w:t>
      </w:r>
      <w:r w:rsidRPr="007248D1">
        <w:rPr>
          <w:rFonts w:ascii="Century Gothic" w:hAnsi="Century Gothic"/>
          <w:sz w:val="21"/>
          <w:szCs w:val="21"/>
        </w:rPr>
        <w:t xml:space="preserve">. </w:t>
      </w:r>
    </w:p>
    <w:p w14:paraId="2E6492C9" w14:textId="6360009C" w:rsidR="00A342CB" w:rsidRDefault="00A342CB" w:rsidP="00135B5B">
      <w:pPr>
        <w:spacing w:after="0"/>
        <w:jc w:val="both"/>
        <w:rPr>
          <w:rFonts w:ascii="Century Gothic" w:hAnsi="Century Gothic"/>
          <w:sz w:val="21"/>
          <w:szCs w:val="21"/>
        </w:rPr>
      </w:pPr>
    </w:p>
    <w:p w14:paraId="75044778" w14:textId="083EC1A4" w:rsidR="00A342CB" w:rsidRDefault="00A342CB" w:rsidP="00135B5B">
      <w:pPr>
        <w:spacing w:after="0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Attention, le</w:t>
      </w:r>
      <w:r w:rsidR="00B41931">
        <w:rPr>
          <w:rFonts w:ascii="Century Gothic" w:hAnsi="Century Gothic"/>
          <w:sz w:val="21"/>
          <w:szCs w:val="21"/>
        </w:rPr>
        <w:t xml:space="preserve"> marché de faible montant n’est pas à confondre avec l’hypothèse de la faible dépense en procédure négociée sans publication préalable</w:t>
      </w:r>
      <w:r>
        <w:rPr>
          <w:rFonts w:ascii="Century Gothic" w:hAnsi="Century Gothic"/>
          <w:sz w:val="21"/>
          <w:szCs w:val="21"/>
        </w:rPr>
        <w:t xml:space="preserve"> </w:t>
      </w:r>
      <w:r w:rsidR="00B41931">
        <w:rPr>
          <w:rFonts w:ascii="Century Gothic" w:hAnsi="Century Gothic"/>
          <w:sz w:val="21"/>
          <w:szCs w:val="21"/>
        </w:rPr>
        <w:t>(</w:t>
      </w:r>
      <w:r>
        <w:rPr>
          <w:rFonts w:ascii="Century Gothic" w:hAnsi="Century Gothic"/>
          <w:sz w:val="21"/>
          <w:szCs w:val="21"/>
        </w:rPr>
        <w:t>PNSPP</w:t>
      </w:r>
      <w:r w:rsidR="00B41931">
        <w:rPr>
          <w:rFonts w:ascii="Century Gothic" w:hAnsi="Century Gothic"/>
          <w:sz w:val="21"/>
          <w:szCs w:val="21"/>
        </w:rPr>
        <w:t>).</w:t>
      </w:r>
    </w:p>
    <w:p w14:paraId="6A9768D9" w14:textId="77777777" w:rsidR="00B41931" w:rsidRPr="007248D1" w:rsidRDefault="00B41931" w:rsidP="00135B5B">
      <w:pPr>
        <w:spacing w:after="0"/>
        <w:jc w:val="both"/>
        <w:rPr>
          <w:rFonts w:ascii="Century Gothic" w:hAnsi="Century Gothic"/>
          <w:sz w:val="21"/>
          <w:szCs w:val="21"/>
        </w:rPr>
      </w:pPr>
    </w:p>
    <w:p w14:paraId="628DD209" w14:textId="77777777" w:rsidR="001449CE" w:rsidRDefault="00DF0FBE" w:rsidP="00135B5B">
      <w:pPr>
        <w:pStyle w:val="Titre1"/>
        <w:numPr>
          <w:ilvl w:val="0"/>
          <w:numId w:val="15"/>
        </w:numPr>
        <w:rPr>
          <w:rFonts w:eastAsia="Times New Roman"/>
          <w:lang w:val="fr-FR" w:eastAsia="fr-FR"/>
        </w:rPr>
      </w:pPr>
      <w:bookmarkStart w:id="4" w:name="_Toc17296954"/>
      <w:bookmarkStart w:id="5" w:name="_Toc58491563"/>
      <w:r w:rsidRPr="00334642">
        <w:rPr>
          <w:rFonts w:eastAsia="Times New Roman"/>
          <w:lang w:val="fr-FR" w:eastAsia="fr-FR"/>
        </w:rPr>
        <w:t xml:space="preserve">Comment </w:t>
      </w:r>
      <w:r w:rsidR="00BF39EC" w:rsidRPr="00334642">
        <w:rPr>
          <w:rFonts w:eastAsia="Times New Roman"/>
          <w:lang w:val="fr-FR" w:eastAsia="fr-FR"/>
        </w:rPr>
        <w:t>se déroule</w:t>
      </w:r>
      <w:r w:rsidRPr="00334642">
        <w:rPr>
          <w:rFonts w:eastAsia="Times New Roman"/>
          <w:lang w:val="fr-FR" w:eastAsia="fr-FR"/>
        </w:rPr>
        <w:t xml:space="preserve"> un marché public de faible montant ?</w:t>
      </w:r>
      <w:bookmarkEnd w:id="4"/>
      <w:bookmarkEnd w:id="5"/>
    </w:p>
    <w:p w14:paraId="75BF8067" w14:textId="77777777" w:rsidR="000810E8" w:rsidRPr="000810E8" w:rsidRDefault="000810E8" w:rsidP="000810E8">
      <w:pPr>
        <w:spacing w:after="0"/>
        <w:jc w:val="both"/>
        <w:rPr>
          <w:rFonts w:ascii="Century Gothic" w:hAnsi="Century Gothic"/>
          <w:iCs/>
        </w:rPr>
      </w:pPr>
    </w:p>
    <w:p w14:paraId="4EADE727" w14:textId="77777777" w:rsidR="004B7E74" w:rsidRPr="00334642" w:rsidRDefault="003B5338" w:rsidP="000810E8">
      <w:pPr>
        <w:pStyle w:val="Titre2"/>
        <w:numPr>
          <w:ilvl w:val="1"/>
          <w:numId w:val="15"/>
        </w:numPr>
      </w:pPr>
      <w:bookmarkStart w:id="6" w:name="_Toc17296955"/>
      <w:bookmarkStart w:id="7" w:name="_Toc58491564"/>
      <w:r w:rsidRPr="00334642">
        <w:t>La</w:t>
      </w:r>
      <w:r w:rsidR="004B7E74" w:rsidRPr="00334642">
        <w:t xml:space="preserve"> mise en concurrence</w:t>
      </w:r>
      <w:bookmarkEnd w:id="6"/>
      <w:bookmarkEnd w:id="7"/>
    </w:p>
    <w:p w14:paraId="0089A734" w14:textId="77777777" w:rsidR="00651653" w:rsidRPr="00334642" w:rsidRDefault="00651653" w:rsidP="000810E8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14:paraId="3BE015D0" w14:textId="77777777" w:rsidR="00861A17" w:rsidRPr="00334642" w:rsidRDefault="00861A17" w:rsidP="00861A17">
      <w:pPr>
        <w:spacing w:after="0"/>
        <w:ind w:left="708"/>
        <w:jc w:val="both"/>
        <w:rPr>
          <w:rFonts w:ascii="Century Gothic" w:eastAsia="Times New Roman" w:hAnsi="Century Gothic" w:cs="Tahoma"/>
          <w:b/>
          <w:color w:val="548DD4" w:themeColor="text2" w:themeTint="99"/>
          <w:lang w:val="fr-FR" w:eastAsia="fr-FR"/>
        </w:rPr>
      </w:pPr>
    </w:p>
    <w:p w14:paraId="1A60FA62" w14:textId="6DE652E8" w:rsidR="00B41931" w:rsidRDefault="00861A17" w:rsidP="00861A17">
      <w:pPr>
        <w:pStyle w:val="Default"/>
        <w:jc w:val="both"/>
        <w:rPr>
          <w:rFonts w:ascii="Century Gothic" w:hAnsi="Century Gothic"/>
          <w:iCs/>
          <w:sz w:val="21"/>
          <w:szCs w:val="21"/>
        </w:rPr>
      </w:pPr>
      <w:r w:rsidRPr="007248D1">
        <w:rPr>
          <w:rFonts w:ascii="Century Gothic" w:hAnsi="Century Gothic"/>
          <w:iCs/>
          <w:sz w:val="21"/>
          <w:szCs w:val="21"/>
        </w:rPr>
        <w:t xml:space="preserve">Aucun avis de marché n’est publié. </w:t>
      </w:r>
      <w:r w:rsidR="00A342CB">
        <w:rPr>
          <w:rFonts w:ascii="Century Gothic" w:hAnsi="Century Gothic"/>
          <w:iCs/>
          <w:sz w:val="21"/>
          <w:szCs w:val="21"/>
        </w:rPr>
        <w:t>Toutefois, l</w:t>
      </w:r>
      <w:r w:rsidRPr="007248D1">
        <w:rPr>
          <w:rFonts w:ascii="Century Gothic" w:hAnsi="Century Gothic"/>
          <w:iCs/>
          <w:sz w:val="21"/>
          <w:szCs w:val="21"/>
        </w:rPr>
        <w:t xml:space="preserve">e pouvoir adjudicateur </w:t>
      </w:r>
      <w:r w:rsidR="00A342CB">
        <w:rPr>
          <w:rFonts w:ascii="Century Gothic" w:hAnsi="Century Gothic"/>
          <w:iCs/>
          <w:sz w:val="21"/>
          <w:szCs w:val="21"/>
        </w:rPr>
        <w:t xml:space="preserve">doit </w:t>
      </w:r>
      <w:r w:rsidRPr="007248D1">
        <w:rPr>
          <w:rFonts w:ascii="Century Gothic" w:hAnsi="Century Gothic"/>
          <w:iCs/>
          <w:sz w:val="21"/>
          <w:szCs w:val="21"/>
        </w:rPr>
        <w:t>passe</w:t>
      </w:r>
      <w:r w:rsidR="00A342CB">
        <w:rPr>
          <w:rFonts w:ascii="Century Gothic" w:hAnsi="Century Gothic"/>
          <w:iCs/>
          <w:sz w:val="21"/>
          <w:szCs w:val="21"/>
        </w:rPr>
        <w:t>r</w:t>
      </w:r>
      <w:r w:rsidRPr="007248D1">
        <w:rPr>
          <w:rFonts w:ascii="Century Gothic" w:hAnsi="Century Gothic"/>
          <w:iCs/>
          <w:sz w:val="21"/>
          <w:szCs w:val="21"/>
        </w:rPr>
        <w:t xml:space="preserve"> son marché </w:t>
      </w:r>
      <w:r w:rsidR="00A342CB">
        <w:rPr>
          <w:rFonts w:ascii="Century Gothic" w:hAnsi="Century Gothic"/>
          <w:iCs/>
          <w:sz w:val="21"/>
          <w:szCs w:val="21"/>
        </w:rPr>
        <w:t xml:space="preserve">en faisant jouer la concurrence. </w:t>
      </w:r>
    </w:p>
    <w:p w14:paraId="38077FB9" w14:textId="12BBB659" w:rsidR="00893595" w:rsidRDefault="00893595" w:rsidP="00861A17">
      <w:pPr>
        <w:pStyle w:val="Default"/>
        <w:jc w:val="both"/>
        <w:rPr>
          <w:rFonts w:ascii="Century Gothic" w:hAnsi="Century Gothic"/>
          <w:iCs/>
          <w:sz w:val="21"/>
          <w:szCs w:val="21"/>
        </w:rPr>
      </w:pPr>
    </w:p>
    <w:p w14:paraId="7BEB299E" w14:textId="1E6305DA" w:rsidR="00B34830" w:rsidRPr="00893595" w:rsidRDefault="00893595" w:rsidP="00861A17">
      <w:pPr>
        <w:pStyle w:val="Default"/>
        <w:jc w:val="both"/>
        <w:rPr>
          <w:rFonts w:ascii="Century Gothic" w:hAnsi="Century Gothic"/>
          <w:iCs/>
          <w:sz w:val="21"/>
          <w:szCs w:val="21"/>
        </w:rPr>
      </w:pPr>
      <w:r w:rsidRPr="00892105">
        <w:rPr>
          <w:rFonts w:ascii="Century Gothic" w:hAnsi="Century Gothic"/>
          <w:sz w:val="21"/>
          <w:szCs w:val="21"/>
        </w:rPr>
        <w:t xml:space="preserve">Le principe de mise en concurrence </w:t>
      </w:r>
      <w:r w:rsidR="00892105" w:rsidRPr="00892105">
        <w:rPr>
          <w:rFonts w:ascii="Century Gothic" w:hAnsi="Century Gothic"/>
          <w:sz w:val="21"/>
          <w:szCs w:val="21"/>
        </w:rPr>
        <w:t xml:space="preserve">s’applique que le pouvoir adjudicateur sollicite ou non </w:t>
      </w:r>
      <w:r w:rsidR="00746D2A">
        <w:rPr>
          <w:rFonts w:ascii="Century Gothic" w:hAnsi="Century Gothic"/>
          <w:sz w:val="21"/>
          <w:szCs w:val="21"/>
        </w:rPr>
        <w:t>la remise d’</w:t>
      </w:r>
      <w:r w:rsidR="00892105" w:rsidRPr="00892105">
        <w:rPr>
          <w:rFonts w:ascii="Century Gothic" w:hAnsi="Century Gothic"/>
          <w:sz w:val="21"/>
          <w:szCs w:val="21"/>
        </w:rPr>
        <w:t>une offre.</w:t>
      </w:r>
    </w:p>
    <w:p w14:paraId="59907041" w14:textId="77777777" w:rsidR="00B41931" w:rsidRPr="00B34830" w:rsidRDefault="00B41931" w:rsidP="00861A17">
      <w:pPr>
        <w:pStyle w:val="Default"/>
        <w:jc w:val="both"/>
        <w:rPr>
          <w:rFonts w:ascii="Century Gothic" w:hAnsi="Century Gothic"/>
          <w:iCs/>
          <w:sz w:val="21"/>
          <w:szCs w:val="21"/>
        </w:rPr>
      </w:pPr>
    </w:p>
    <w:p w14:paraId="3431EF54" w14:textId="77777777" w:rsidR="00B41931" w:rsidRDefault="00B41931" w:rsidP="00861A17">
      <w:pPr>
        <w:pStyle w:val="Default"/>
        <w:jc w:val="both"/>
        <w:rPr>
          <w:rFonts w:ascii="Century Gothic" w:hAnsi="Century Gothic"/>
          <w:iCs/>
          <w:sz w:val="21"/>
          <w:szCs w:val="21"/>
        </w:rPr>
      </w:pPr>
      <w:r>
        <w:rPr>
          <w:rFonts w:ascii="Century Gothic" w:hAnsi="Century Gothic"/>
          <w:iCs/>
          <w:sz w:val="21"/>
          <w:szCs w:val="21"/>
        </w:rPr>
        <w:t xml:space="preserve">Il peut </w:t>
      </w:r>
    </w:p>
    <w:p w14:paraId="185267F0" w14:textId="50880DAC" w:rsidR="00B41931" w:rsidRPr="00B41931" w:rsidRDefault="00B41931" w:rsidP="003B5338">
      <w:pPr>
        <w:pStyle w:val="Default"/>
        <w:numPr>
          <w:ilvl w:val="0"/>
          <w:numId w:val="18"/>
        </w:numPr>
        <w:jc w:val="both"/>
        <w:rPr>
          <w:rFonts w:ascii="Century Gothic" w:hAnsi="Century Gothic"/>
          <w:iCs/>
          <w:sz w:val="21"/>
          <w:szCs w:val="21"/>
        </w:rPr>
      </w:pPr>
      <w:r>
        <w:rPr>
          <w:rFonts w:ascii="Century Gothic" w:hAnsi="Century Gothic"/>
          <w:iCs/>
          <w:sz w:val="21"/>
          <w:szCs w:val="21"/>
        </w:rPr>
        <w:t>Soit consulter</w:t>
      </w:r>
      <w:r w:rsidR="00861A17" w:rsidRPr="007248D1">
        <w:rPr>
          <w:rFonts w:ascii="Century Gothic" w:hAnsi="Century Gothic"/>
          <w:iCs/>
          <w:sz w:val="21"/>
          <w:szCs w:val="21"/>
        </w:rPr>
        <w:t xml:space="preserve">, si possible, </w:t>
      </w:r>
      <w:r>
        <w:rPr>
          <w:rFonts w:ascii="Century Gothic" w:hAnsi="Century Gothic"/>
          <w:iCs/>
          <w:sz w:val="21"/>
          <w:szCs w:val="21"/>
        </w:rPr>
        <w:t>l</w:t>
      </w:r>
      <w:r w:rsidR="00861A17" w:rsidRPr="007248D1">
        <w:rPr>
          <w:rFonts w:ascii="Century Gothic" w:hAnsi="Century Gothic"/>
          <w:iCs/>
          <w:sz w:val="21"/>
          <w:szCs w:val="21"/>
        </w:rPr>
        <w:t>es conditions de plusieurs opérateurs économiques</w:t>
      </w:r>
      <w:r w:rsidR="00746D2A">
        <w:rPr>
          <w:rFonts w:ascii="Century Gothic" w:hAnsi="Century Gothic"/>
          <w:iCs/>
          <w:sz w:val="21"/>
          <w:szCs w:val="21"/>
        </w:rPr>
        <w:t xml:space="preserve"> (au moins 3)</w:t>
      </w:r>
      <w:r>
        <w:rPr>
          <w:rFonts w:ascii="Century Gothic" w:hAnsi="Century Gothic"/>
          <w:iCs/>
          <w:sz w:val="21"/>
          <w:szCs w:val="21"/>
        </w:rPr>
        <w:t xml:space="preserve"> sans</w:t>
      </w:r>
      <w:r w:rsidR="00861A17" w:rsidRPr="007248D1">
        <w:rPr>
          <w:rFonts w:ascii="Century Gothic" w:hAnsi="Century Gothic"/>
          <w:iCs/>
          <w:sz w:val="21"/>
          <w:szCs w:val="21"/>
        </w:rPr>
        <w:t xml:space="preserve"> demander l</w:t>
      </w:r>
      <w:r w:rsidR="00746D2A">
        <w:rPr>
          <w:rFonts w:ascii="Century Gothic" w:hAnsi="Century Gothic"/>
          <w:iCs/>
          <w:sz w:val="21"/>
          <w:szCs w:val="21"/>
        </w:rPr>
        <w:t>a remise</w:t>
      </w:r>
      <w:r w:rsidR="00861A17" w:rsidRPr="007248D1">
        <w:rPr>
          <w:rFonts w:ascii="Century Gothic" w:hAnsi="Century Gothic"/>
          <w:iCs/>
          <w:sz w:val="21"/>
          <w:szCs w:val="21"/>
        </w:rPr>
        <w:t xml:space="preserve"> d'offres</w:t>
      </w:r>
      <w:r w:rsidR="00746D2A">
        <w:rPr>
          <w:rFonts w:ascii="Century Gothic" w:hAnsi="Century Gothic"/>
          <w:iCs/>
          <w:sz w:val="21"/>
          <w:szCs w:val="21"/>
        </w:rPr>
        <w:t> </w:t>
      </w:r>
      <w:r w:rsidR="00746D2A">
        <w:rPr>
          <w:rFonts w:ascii="Century Gothic" w:hAnsi="Century Gothic"/>
          <w:sz w:val="21"/>
          <w:szCs w:val="21"/>
        </w:rPr>
        <w:t>;</w:t>
      </w:r>
    </w:p>
    <w:p w14:paraId="0E810179" w14:textId="32D55C11" w:rsidR="003E4285" w:rsidRPr="00B5257F" w:rsidRDefault="000F4AA3" w:rsidP="003B5338">
      <w:pPr>
        <w:pStyle w:val="Default"/>
        <w:numPr>
          <w:ilvl w:val="0"/>
          <w:numId w:val="18"/>
        </w:numPr>
        <w:jc w:val="both"/>
        <w:rPr>
          <w:rFonts w:ascii="Century Gothic" w:hAnsi="Century Gothic"/>
          <w:iCs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Soit consulter</w:t>
      </w:r>
      <w:r w:rsidR="00B41931" w:rsidRPr="00B41931">
        <w:rPr>
          <w:rFonts w:ascii="Century Gothic" w:hAnsi="Century Gothic"/>
          <w:sz w:val="21"/>
          <w:szCs w:val="21"/>
        </w:rPr>
        <w:t xml:space="preserve"> au moins 3 soumissionnaires</w:t>
      </w:r>
      <w:r w:rsidR="007E45E8">
        <w:rPr>
          <w:rFonts w:ascii="Century Gothic" w:hAnsi="Century Gothic"/>
          <w:sz w:val="21"/>
          <w:szCs w:val="21"/>
        </w:rPr>
        <w:t xml:space="preserve"> en les invitant à remettre offre</w:t>
      </w:r>
      <w:r w:rsidR="00D6351B" w:rsidRPr="00B41931">
        <w:rPr>
          <w:rFonts w:ascii="Century Gothic" w:hAnsi="Century Gothic"/>
          <w:sz w:val="21"/>
          <w:szCs w:val="21"/>
        </w:rPr>
        <w:t xml:space="preserve"> (</w:t>
      </w:r>
      <w:r w:rsidR="00B07E4E">
        <w:rPr>
          <w:rFonts w:ascii="Century Gothic" w:hAnsi="Century Gothic"/>
          <w:sz w:val="21"/>
          <w:szCs w:val="21"/>
        </w:rPr>
        <w:t xml:space="preserve">voir outils liés – </w:t>
      </w:r>
      <w:r w:rsidR="00D6351B" w:rsidRPr="00B5257F">
        <w:rPr>
          <w:rFonts w:ascii="Century Gothic" w:hAnsi="Century Gothic"/>
          <w:sz w:val="21"/>
          <w:szCs w:val="21"/>
        </w:rPr>
        <w:t>modèle</w:t>
      </w:r>
      <w:r w:rsidR="00B07E4E" w:rsidRPr="00B5257F">
        <w:rPr>
          <w:rFonts w:ascii="Century Gothic" w:hAnsi="Century Gothic"/>
          <w:sz w:val="21"/>
          <w:szCs w:val="21"/>
        </w:rPr>
        <w:t xml:space="preserve"> de lettre</w:t>
      </w:r>
      <w:r w:rsidR="005C2AAA" w:rsidRPr="00B5257F">
        <w:rPr>
          <w:rFonts w:ascii="Century Gothic" w:hAnsi="Century Gothic"/>
          <w:sz w:val="21"/>
          <w:szCs w:val="21"/>
        </w:rPr>
        <w:t xml:space="preserve"> d’invitation</w:t>
      </w:r>
      <w:r w:rsidR="00937C09" w:rsidRPr="00B5257F">
        <w:rPr>
          <w:rFonts w:ascii="Century Gothic" w:hAnsi="Century Gothic"/>
          <w:sz w:val="21"/>
          <w:szCs w:val="21"/>
        </w:rPr>
        <w:t xml:space="preserve"> à remettre offre</w:t>
      </w:r>
      <w:r w:rsidR="00A43948" w:rsidRPr="00B5257F">
        <w:rPr>
          <w:rFonts w:ascii="Century Gothic" w:hAnsi="Century Gothic"/>
          <w:sz w:val="21"/>
          <w:szCs w:val="21"/>
        </w:rPr>
        <w:t xml:space="preserve"> (applicable pour les marchés de faible montant d’une certaine importance</w:t>
      </w:r>
      <w:r w:rsidR="007727D7" w:rsidRPr="00B5257F">
        <w:rPr>
          <w:rFonts w:ascii="Century Gothic" w:hAnsi="Century Gothic"/>
          <w:sz w:val="21"/>
          <w:szCs w:val="21"/>
        </w:rPr>
        <w:t xml:space="preserve"> et complexité</w:t>
      </w:r>
      <w:r w:rsidR="0014526C" w:rsidRPr="00B5257F">
        <w:rPr>
          <w:rFonts w:ascii="Century Gothic" w:hAnsi="Century Gothic"/>
          <w:sz w:val="21"/>
          <w:szCs w:val="21"/>
        </w:rPr>
        <w:t>- cette lettre sera accompagnée d’un descriptif détaillé du marché</w:t>
      </w:r>
      <w:r w:rsidR="00F35D29" w:rsidRPr="00B5257F">
        <w:rPr>
          <w:rFonts w:ascii="Century Gothic" w:hAnsi="Century Gothic"/>
          <w:sz w:val="21"/>
          <w:szCs w:val="21"/>
        </w:rPr>
        <w:t xml:space="preserve"> (voir ci-après)</w:t>
      </w:r>
      <w:r w:rsidR="00A43948" w:rsidRPr="00B5257F">
        <w:rPr>
          <w:rFonts w:ascii="Century Gothic" w:hAnsi="Century Gothic"/>
          <w:sz w:val="21"/>
          <w:szCs w:val="21"/>
        </w:rPr>
        <w:t>)</w:t>
      </w:r>
      <w:r w:rsidR="00334C63" w:rsidRPr="00B5257F">
        <w:rPr>
          <w:rFonts w:ascii="Century Gothic" w:hAnsi="Century Gothic"/>
          <w:sz w:val="21"/>
          <w:szCs w:val="21"/>
        </w:rPr>
        <w:t xml:space="preserve"> </w:t>
      </w:r>
      <w:r w:rsidR="0035571E" w:rsidRPr="00B5257F">
        <w:rPr>
          <w:rFonts w:ascii="Century Gothic" w:hAnsi="Century Gothic"/>
          <w:sz w:val="21"/>
          <w:szCs w:val="21"/>
        </w:rPr>
        <w:t>ou</w:t>
      </w:r>
      <w:r w:rsidR="00334C63" w:rsidRPr="00B5257F">
        <w:rPr>
          <w:rFonts w:ascii="Century Gothic" w:hAnsi="Century Gothic"/>
          <w:sz w:val="21"/>
          <w:szCs w:val="21"/>
        </w:rPr>
        <w:t xml:space="preserve"> </w:t>
      </w:r>
      <w:bookmarkStart w:id="8" w:name="_Hlk60822248"/>
      <w:r w:rsidR="00334C63" w:rsidRPr="00B5257F">
        <w:rPr>
          <w:rFonts w:ascii="Century Gothic" w:hAnsi="Century Gothic"/>
          <w:sz w:val="21"/>
          <w:szCs w:val="21"/>
        </w:rPr>
        <w:t xml:space="preserve">modèle de mail de demande d’offre </w:t>
      </w:r>
      <w:r w:rsidR="00A43948" w:rsidRPr="00B5257F">
        <w:rPr>
          <w:rFonts w:ascii="Century Gothic" w:hAnsi="Century Gothic"/>
          <w:sz w:val="21"/>
          <w:szCs w:val="21"/>
        </w:rPr>
        <w:t>(</w:t>
      </w:r>
      <w:r w:rsidR="0035571E" w:rsidRPr="00B5257F">
        <w:rPr>
          <w:rFonts w:ascii="Century Gothic" w:hAnsi="Century Gothic"/>
          <w:sz w:val="21"/>
          <w:szCs w:val="21"/>
        </w:rPr>
        <w:t xml:space="preserve">applicable </w:t>
      </w:r>
      <w:r w:rsidR="00334C63" w:rsidRPr="00B5257F">
        <w:rPr>
          <w:rFonts w:ascii="Century Gothic" w:hAnsi="Century Gothic"/>
          <w:sz w:val="21"/>
          <w:szCs w:val="21"/>
        </w:rPr>
        <w:t>pour les marchés de très faible montant</w:t>
      </w:r>
      <w:bookmarkEnd w:id="8"/>
      <w:r w:rsidR="00084C6E" w:rsidRPr="00B5257F">
        <w:rPr>
          <w:rFonts w:ascii="Century Gothic" w:hAnsi="Century Gothic"/>
          <w:sz w:val="21"/>
          <w:szCs w:val="21"/>
        </w:rPr>
        <w:t xml:space="preserve"> ou de complexité moindre</w:t>
      </w:r>
      <w:r w:rsidR="00D6351B" w:rsidRPr="00B5257F">
        <w:rPr>
          <w:rFonts w:ascii="Century Gothic" w:hAnsi="Century Gothic"/>
          <w:sz w:val="21"/>
          <w:szCs w:val="21"/>
        </w:rPr>
        <w:t>)</w:t>
      </w:r>
      <w:r w:rsidR="006C4B76" w:rsidRPr="00B5257F">
        <w:rPr>
          <w:rFonts w:ascii="Century Gothic" w:hAnsi="Century Gothic"/>
          <w:sz w:val="21"/>
          <w:szCs w:val="21"/>
        </w:rPr>
        <w:t xml:space="preserve">. </w:t>
      </w:r>
    </w:p>
    <w:p w14:paraId="06224192" w14:textId="77777777" w:rsidR="00D6351B" w:rsidRPr="007248D1" w:rsidRDefault="00D6351B" w:rsidP="003B5338">
      <w:pPr>
        <w:pStyle w:val="Default"/>
        <w:jc w:val="both"/>
        <w:rPr>
          <w:rFonts w:ascii="Century Gothic" w:hAnsi="Century Gothic"/>
          <w:sz w:val="21"/>
          <w:szCs w:val="21"/>
        </w:rPr>
      </w:pPr>
    </w:p>
    <w:p w14:paraId="54B4D6B9" w14:textId="77777777" w:rsidR="007E45E8" w:rsidRPr="007248D1" w:rsidRDefault="007E45E8" w:rsidP="007E45E8">
      <w:pPr>
        <w:spacing w:after="0"/>
        <w:jc w:val="both"/>
        <w:rPr>
          <w:rFonts w:ascii="Century Gothic" w:hAnsi="Century Gothic"/>
          <w:sz w:val="21"/>
          <w:szCs w:val="21"/>
        </w:rPr>
      </w:pPr>
      <w:r w:rsidRPr="007248D1">
        <w:rPr>
          <w:rFonts w:ascii="Century Gothic" w:hAnsi="Century Gothic"/>
          <w:sz w:val="21"/>
          <w:szCs w:val="21"/>
        </w:rPr>
        <w:t>En cas d’impossibilité de mise en concurrence, il doit veiller à la démontrer sur base d’éléments objectifs (ex. : situation de monopole, exclusivité technique, urgence impérieuse).</w:t>
      </w:r>
    </w:p>
    <w:p w14:paraId="354AA6F1" w14:textId="77777777" w:rsidR="00035E06" w:rsidRDefault="00035E06" w:rsidP="002D401E">
      <w:pPr>
        <w:spacing w:after="0"/>
        <w:jc w:val="both"/>
        <w:rPr>
          <w:rFonts w:ascii="Century Gothic" w:hAnsi="Century Gothic"/>
        </w:rPr>
      </w:pPr>
    </w:p>
    <w:p w14:paraId="0BF338CE" w14:textId="77777777" w:rsidR="00035E06" w:rsidRPr="00035E06" w:rsidRDefault="00035E06" w:rsidP="00D6351B">
      <w:pPr>
        <w:pStyle w:val="Titre2"/>
        <w:numPr>
          <w:ilvl w:val="1"/>
          <w:numId w:val="15"/>
        </w:numPr>
      </w:pPr>
      <w:bookmarkStart w:id="9" w:name="_Toc17296956"/>
      <w:bookmarkStart w:id="10" w:name="_Toc58491565"/>
      <w:r w:rsidRPr="00035E06">
        <w:t>La preuve de la mise en concurrence</w:t>
      </w:r>
      <w:bookmarkEnd w:id="9"/>
      <w:bookmarkEnd w:id="10"/>
    </w:p>
    <w:p w14:paraId="0CD6F4BB" w14:textId="77777777" w:rsidR="00035E06" w:rsidRPr="00035E06" w:rsidRDefault="00035E06" w:rsidP="00035E06">
      <w:pPr>
        <w:spacing w:after="0"/>
        <w:jc w:val="both"/>
        <w:rPr>
          <w:rFonts w:ascii="Century Gothic" w:hAnsi="Century Gothic"/>
        </w:rPr>
      </w:pPr>
    </w:p>
    <w:p w14:paraId="2D775EC2" w14:textId="5ACACA56" w:rsidR="002D401E" w:rsidRDefault="00035E06" w:rsidP="00035E06">
      <w:pPr>
        <w:spacing w:after="0"/>
        <w:jc w:val="both"/>
        <w:rPr>
          <w:rFonts w:ascii="Century Gothic" w:hAnsi="Century Gothic"/>
          <w:sz w:val="21"/>
          <w:szCs w:val="21"/>
        </w:rPr>
      </w:pPr>
      <w:r w:rsidRPr="007248D1">
        <w:rPr>
          <w:rFonts w:ascii="Century Gothic" w:hAnsi="Century Gothic"/>
          <w:sz w:val="21"/>
          <w:szCs w:val="21"/>
        </w:rPr>
        <w:t>Le pouvoir adjudicateur doit pouvoir apporter la preuve qu’il a effectivement consulté les conditions de plusieurs opérateurs économiques. Il est</w:t>
      </w:r>
      <w:r w:rsidR="005F528D">
        <w:rPr>
          <w:rFonts w:ascii="Century Gothic" w:hAnsi="Century Gothic"/>
          <w:sz w:val="21"/>
          <w:szCs w:val="21"/>
        </w:rPr>
        <w:t xml:space="preserve"> donc</w:t>
      </w:r>
      <w:r w:rsidRPr="007248D1">
        <w:rPr>
          <w:rFonts w:ascii="Century Gothic" w:hAnsi="Century Gothic"/>
          <w:sz w:val="21"/>
          <w:szCs w:val="21"/>
        </w:rPr>
        <w:t xml:space="preserve"> recommandé de conserver des preuves écrites de ces consultations dans le dossier administratif, éventuellement </w:t>
      </w:r>
      <w:proofErr w:type="gramStart"/>
      <w:r w:rsidRPr="007248D1">
        <w:rPr>
          <w:rFonts w:ascii="Century Gothic" w:hAnsi="Century Gothic"/>
          <w:sz w:val="21"/>
          <w:szCs w:val="21"/>
        </w:rPr>
        <w:t>dématérialisé</w:t>
      </w:r>
      <w:proofErr w:type="gramEnd"/>
      <w:r w:rsidRPr="007248D1">
        <w:rPr>
          <w:rFonts w:ascii="Century Gothic" w:hAnsi="Century Gothic"/>
          <w:sz w:val="21"/>
          <w:szCs w:val="21"/>
        </w:rPr>
        <w:t>, au moyen de captures d’écran, de copies de mails échangés avec les opérateurs économiques</w:t>
      </w:r>
      <w:r w:rsidR="00746D2A">
        <w:rPr>
          <w:rFonts w:ascii="Century Gothic" w:hAnsi="Century Gothic"/>
          <w:sz w:val="21"/>
          <w:szCs w:val="21"/>
        </w:rPr>
        <w:t>, etc</w:t>
      </w:r>
      <w:r w:rsidRPr="007248D1">
        <w:rPr>
          <w:rFonts w:ascii="Century Gothic" w:hAnsi="Century Gothic"/>
          <w:sz w:val="21"/>
          <w:szCs w:val="21"/>
        </w:rPr>
        <w:t xml:space="preserve">. Un contact téléphonique n’est pas interdit mais il n’est pas suffisant, ne laissant aucune </w:t>
      </w:r>
      <w:r w:rsidR="005F528D" w:rsidRPr="007248D1">
        <w:rPr>
          <w:rFonts w:ascii="Century Gothic" w:hAnsi="Century Gothic"/>
          <w:sz w:val="21"/>
          <w:szCs w:val="21"/>
        </w:rPr>
        <w:t>trace</w:t>
      </w:r>
      <w:r w:rsidR="00746D2A">
        <w:rPr>
          <w:rFonts w:ascii="Century Gothic" w:hAnsi="Century Gothic"/>
          <w:sz w:val="21"/>
          <w:szCs w:val="21"/>
        </w:rPr>
        <w:t>.</w:t>
      </w:r>
      <w:r w:rsidR="005F528D" w:rsidRPr="007248D1">
        <w:rPr>
          <w:rFonts w:ascii="Century Gothic" w:hAnsi="Century Gothic"/>
          <w:sz w:val="21"/>
          <w:szCs w:val="21"/>
        </w:rPr>
        <w:t xml:space="preserve"> </w:t>
      </w:r>
      <w:r w:rsidR="00746D2A">
        <w:rPr>
          <w:rFonts w:ascii="Century Gothic" w:hAnsi="Century Gothic"/>
          <w:sz w:val="21"/>
          <w:szCs w:val="21"/>
        </w:rPr>
        <w:t>I</w:t>
      </w:r>
      <w:r w:rsidR="005F528D" w:rsidRPr="007248D1">
        <w:rPr>
          <w:rFonts w:ascii="Century Gothic" w:hAnsi="Century Gothic"/>
          <w:sz w:val="21"/>
          <w:szCs w:val="21"/>
        </w:rPr>
        <w:t>l</w:t>
      </w:r>
      <w:r w:rsidRPr="007248D1">
        <w:rPr>
          <w:rFonts w:ascii="Century Gothic" w:hAnsi="Century Gothic"/>
          <w:sz w:val="21"/>
          <w:szCs w:val="21"/>
        </w:rPr>
        <w:t xml:space="preserve"> doit</w:t>
      </w:r>
      <w:r w:rsidR="00746D2A">
        <w:rPr>
          <w:rFonts w:ascii="Century Gothic" w:hAnsi="Century Gothic"/>
          <w:sz w:val="21"/>
          <w:szCs w:val="21"/>
        </w:rPr>
        <w:t xml:space="preserve"> alors</w:t>
      </w:r>
      <w:r w:rsidRPr="007248D1">
        <w:rPr>
          <w:rFonts w:ascii="Century Gothic" w:hAnsi="Century Gothic"/>
          <w:sz w:val="21"/>
          <w:szCs w:val="21"/>
        </w:rPr>
        <w:t xml:space="preserve"> s’accompagner de preuves écrites.</w:t>
      </w:r>
    </w:p>
    <w:p w14:paraId="41C49120" w14:textId="7DC663CB" w:rsidR="005F528D" w:rsidRPr="007248D1" w:rsidRDefault="005F528D" w:rsidP="00035E06">
      <w:pPr>
        <w:spacing w:after="0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Il en va de même </w:t>
      </w:r>
      <w:r w:rsidR="00746D2A">
        <w:rPr>
          <w:rFonts w:ascii="Century Gothic" w:hAnsi="Century Gothic"/>
          <w:sz w:val="21"/>
          <w:szCs w:val="21"/>
        </w:rPr>
        <w:t>dans le cas où</w:t>
      </w:r>
      <w:r>
        <w:rPr>
          <w:rFonts w:ascii="Century Gothic" w:hAnsi="Century Gothic"/>
          <w:sz w:val="21"/>
          <w:szCs w:val="21"/>
        </w:rPr>
        <w:t xml:space="preserve"> plusieurs </w:t>
      </w:r>
      <w:r w:rsidR="00746D2A">
        <w:rPr>
          <w:rFonts w:ascii="Century Gothic" w:hAnsi="Century Gothic"/>
          <w:sz w:val="21"/>
          <w:szCs w:val="21"/>
        </w:rPr>
        <w:t>opérateurs économiques ont été invités à remettre offre</w:t>
      </w:r>
      <w:r>
        <w:rPr>
          <w:rFonts w:ascii="Century Gothic" w:hAnsi="Century Gothic"/>
          <w:sz w:val="21"/>
          <w:szCs w:val="21"/>
        </w:rPr>
        <w:t>.</w:t>
      </w:r>
      <w:r w:rsidR="00746D2A">
        <w:rPr>
          <w:rFonts w:ascii="Century Gothic" w:hAnsi="Century Gothic"/>
          <w:sz w:val="21"/>
          <w:szCs w:val="21"/>
        </w:rPr>
        <w:t xml:space="preserve"> Les différents éléments de preuve doivent être consignés dans le dossier administratif selon les mêmes exigences.</w:t>
      </w:r>
    </w:p>
    <w:p w14:paraId="0AEC021C" w14:textId="77777777" w:rsidR="00F402D0" w:rsidRPr="00334642" w:rsidRDefault="00F402D0" w:rsidP="00035E06">
      <w:pPr>
        <w:spacing w:after="0"/>
        <w:jc w:val="both"/>
        <w:rPr>
          <w:rFonts w:ascii="Century Gothic" w:hAnsi="Century Gothic"/>
        </w:rPr>
      </w:pPr>
    </w:p>
    <w:p w14:paraId="1F64BA4E" w14:textId="4433CA57" w:rsidR="0069492F" w:rsidRPr="00892105" w:rsidRDefault="003B5338" w:rsidP="00E63922">
      <w:pPr>
        <w:pStyle w:val="Titre2"/>
        <w:numPr>
          <w:ilvl w:val="1"/>
          <w:numId w:val="15"/>
        </w:numPr>
        <w:jc w:val="both"/>
      </w:pPr>
      <w:bookmarkStart w:id="11" w:name="_Toc17296957"/>
      <w:bookmarkStart w:id="12" w:name="_Toc58491566"/>
      <w:r w:rsidRPr="00892105">
        <w:t>Le</w:t>
      </w:r>
      <w:r w:rsidR="006065B6" w:rsidRPr="00892105">
        <w:t xml:space="preserve"> descriptif du marché</w:t>
      </w:r>
      <w:bookmarkEnd w:id="11"/>
      <w:bookmarkEnd w:id="12"/>
      <w:r w:rsidR="00B34830" w:rsidRPr="00892105">
        <w:t xml:space="preserve"> </w:t>
      </w:r>
    </w:p>
    <w:p w14:paraId="11E63C15" w14:textId="77777777" w:rsidR="00892105" w:rsidRPr="00892105" w:rsidRDefault="00892105" w:rsidP="00892105"/>
    <w:p w14:paraId="764BF50F" w14:textId="2DD6FDEC" w:rsidR="006065B6" w:rsidRPr="007248D1" w:rsidRDefault="00861A17" w:rsidP="003B5338">
      <w:pPr>
        <w:jc w:val="both"/>
        <w:rPr>
          <w:rFonts w:ascii="Century Gothic" w:hAnsi="Century Gothic"/>
          <w:sz w:val="21"/>
          <w:szCs w:val="21"/>
        </w:rPr>
      </w:pPr>
      <w:r w:rsidRPr="007248D1">
        <w:rPr>
          <w:rFonts w:ascii="Century Gothic" w:hAnsi="Century Gothic"/>
          <w:sz w:val="21"/>
          <w:szCs w:val="21"/>
        </w:rPr>
        <w:t>Un marché de faible montant</w:t>
      </w:r>
      <w:r w:rsidR="00D6351B" w:rsidRPr="007248D1">
        <w:rPr>
          <w:rFonts w:ascii="Century Gothic" w:hAnsi="Century Gothic"/>
          <w:sz w:val="21"/>
          <w:szCs w:val="21"/>
        </w:rPr>
        <w:t xml:space="preserve"> </w:t>
      </w:r>
      <w:r w:rsidRPr="007248D1">
        <w:rPr>
          <w:rFonts w:ascii="Century Gothic" w:hAnsi="Century Gothic"/>
          <w:sz w:val="21"/>
          <w:szCs w:val="21"/>
        </w:rPr>
        <w:t>n’exige</w:t>
      </w:r>
      <w:r w:rsidR="00F05185" w:rsidRPr="007248D1">
        <w:rPr>
          <w:rFonts w:ascii="Century Gothic" w:hAnsi="Century Gothic"/>
          <w:sz w:val="21"/>
          <w:szCs w:val="21"/>
        </w:rPr>
        <w:t xml:space="preserve"> pas la rédaction d’un cahier spécial des charges </w:t>
      </w:r>
      <w:r w:rsidR="0069492F" w:rsidRPr="007248D1">
        <w:rPr>
          <w:rFonts w:ascii="Century Gothic" w:hAnsi="Century Gothic"/>
          <w:sz w:val="21"/>
          <w:szCs w:val="21"/>
        </w:rPr>
        <w:t>en tant que tel</w:t>
      </w:r>
      <w:r w:rsidRPr="007248D1">
        <w:rPr>
          <w:rFonts w:ascii="Century Gothic" w:hAnsi="Century Gothic"/>
          <w:sz w:val="21"/>
          <w:szCs w:val="21"/>
        </w:rPr>
        <w:t xml:space="preserve">. </w:t>
      </w:r>
      <w:r w:rsidR="00F402D0" w:rsidRPr="007248D1">
        <w:rPr>
          <w:rFonts w:ascii="Century Gothic" w:hAnsi="Century Gothic"/>
          <w:sz w:val="21"/>
          <w:szCs w:val="21"/>
        </w:rPr>
        <w:t>Dans la majorité des cas, un simple bon de commande suffira</w:t>
      </w:r>
      <w:r w:rsidR="00892105">
        <w:rPr>
          <w:rFonts w:ascii="Century Gothic" w:hAnsi="Century Gothic"/>
          <w:sz w:val="21"/>
          <w:szCs w:val="21"/>
        </w:rPr>
        <w:t xml:space="preserve"> et il sera </w:t>
      </w:r>
      <w:r w:rsidR="00A939B1">
        <w:rPr>
          <w:rFonts w:ascii="Century Gothic" w:hAnsi="Century Gothic"/>
          <w:sz w:val="21"/>
          <w:szCs w:val="21"/>
        </w:rPr>
        <w:t>conclu</w:t>
      </w:r>
      <w:r w:rsidR="00892105">
        <w:rPr>
          <w:rFonts w:ascii="Century Gothic" w:hAnsi="Century Gothic"/>
          <w:sz w:val="21"/>
          <w:szCs w:val="21"/>
        </w:rPr>
        <w:t xml:space="preserve"> par simple facture acceptée</w:t>
      </w:r>
      <w:r w:rsidR="00F402D0" w:rsidRPr="007248D1">
        <w:rPr>
          <w:rFonts w:ascii="Century Gothic" w:hAnsi="Century Gothic"/>
          <w:sz w:val="21"/>
          <w:szCs w:val="21"/>
        </w:rPr>
        <w:t>.</w:t>
      </w:r>
      <w:r w:rsidR="00F402D0">
        <w:rPr>
          <w:rFonts w:ascii="Century Gothic" w:hAnsi="Century Gothic"/>
          <w:sz w:val="21"/>
          <w:szCs w:val="21"/>
        </w:rPr>
        <w:t xml:space="preserve"> </w:t>
      </w:r>
      <w:r w:rsidRPr="00033282">
        <w:rPr>
          <w:rFonts w:ascii="Century Gothic" w:hAnsi="Century Gothic"/>
          <w:sz w:val="21"/>
          <w:szCs w:val="21"/>
        </w:rPr>
        <w:t xml:space="preserve">Toutefois, en </w:t>
      </w:r>
      <w:r w:rsidR="00245EAF" w:rsidRPr="00033282">
        <w:rPr>
          <w:rFonts w:ascii="Century Gothic" w:hAnsi="Century Gothic"/>
          <w:sz w:val="21"/>
          <w:szCs w:val="21"/>
        </w:rPr>
        <w:t>cas de marché de faible montant d’une certaine importance et</w:t>
      </w:r>
      <w:r w:rsidR="005F528D" w:rsidRPr="00033282">
        <w:rPr>
          <w:rFonts w:ascii="Century Gothic" w:hAnsi="Century Gothic"/>
          <w:sz w:val="21"/>
          <w:szCs w:val="21"/>
        </w:rPr>
        <w:t xml:space="preserve"> complexité</w:t>
      </w:r>
      <w:r w:rsidRPr="00033282">
        <w:rPr>
          <w:rFonts w:ascii="Century Gothic" w:hAnsi="Century Gothic"/>
          <w:sz w:val="21"/>
          <w:szCs w:val="21"/>
        </w:rPr>
        <w:t>, il peut être utile de rédiger</w:t>
      </w:r>
      <w:r w:rsidR="0069492F" w:rsidRPr="00033282">
        <w:rPr>
          <w:rFonts w:ascii="Century Gothic" w:hAnsi="Century Gothic"/>
          <w:sz w:val="21"/>
          <w:szCs w:val="21"/>
        </w:rPr>
        <w:t xml:space="preserve"> </w:t>
      </w:r>
      <w:r w:rsidR="006065B6" w:rsidRPr="00033282">
        <w:rPr>
          <w:rFonts w:ascii="Century Gothic" w:hAnsi="Century Gothic"/>
          <w:sz w:val="21"/>
          <w:szCs w:val="21"/>
        </w:rPr>
        <w:t xml:space="preserve">un descriptif détaillé </w:t>
      </w:r>
      <w:r w:rsidR="006065B6" w:rsidRPr="00033282">
        <w:rPr>
          <w:rFonts w:ascii="Century Gothic" w:hAnsi="Century Gothic"/>
          <w:sz w:val="21"/>
          <w:szCs w:val="21"/>
        </w:rPr>
        <w:lastRenderedPageBreak/>
        <w:t>d</w:t>
      </w:r>
      <w:r w:rsidR="00C6218D" w:rsidRPr="00033282">
        <w:rPr>
          <w:rFonts w:ascii="Century Gothic" w:hAnsi="Century Gothic"/>
          <w:sz w:val="21"/>
          <w:szCs w:val="21"/>
        </w:rPr>
        <w:t>u marché</w:t>
      </w:r>
      <w:r w:rsidR="00F402D0" w:rsidRPr="00033282">
        <w:rPr>
          <w:rFonts w:ascii="Century Gothic" w:hAnsi="Century Gothic"/>
          <w:sz w:val="21"/>
          <w:szCs w:val="21"/>
        </w:rPr>
        <w:t xml:space="preserve"> </w:t>
      </w:r>
      <w:r w:rsidR="00BB02E3" w:rsidRPr="00033282">
        <w:rPr>
          <w:rFonts w:ascii="Century Gothic" w:hAnsi="Century Gothic"/>
          <w:sz w:val="21"/>
          <w:szCs w:val="21"/>
        </w:rPr>
        <w:t xml:space="preserve">(voir outils liés </w:t>
      </w:r>
      <w:r w:rsidR="00960DBF" w:rsidRPr="00033282">
        <w:rPr>
          <w:rFonts w:ascii="Century Gothic" w:hAnsi="Century Gothic"/>
          <w:sz w:val="21"/>
          <w:szCs w:val="21"/>
        </w:rPr>
        <w:t>– descriptif de marché</w:t>
      </w:r>
      <w:r w:rsidR="00BB02E3" w:rsidRPr="00033282">
        <w:rPr>
          <w:rFonts w:ascii="Century Gothic" w:hAnsi="Century Gothic"/>
          <w:sz w:val="21"/>
          <w:szCs w:val="21"/>
        </w:rPr>
        <w:t>)</w:t>
      </w:r>
      <w:r w:rsidR="008348B6" w:rsidRPr="00033282">
        <w:rPr>
          <w:rFonts w:ascii="Century Gothic" w:hAnsi="Century Gothic"/>
          <w:sz w:val="21"/>
          <w:szCs w:val="21"/>
        </w:rPr>
        <w:t>.</w:t>
      </w:r>
      <w:r w:rsidRPr="00033282">
        <w:rPr>
          <w:rFonts w:ascii="Century Gothic" w:hAnsi="Century Gothic"/>
          <w:sz w:val="21"/>
          <w:szCs w:val="21"/>
        </w:rPr>
        <w:t xml:space="preserve"> </w:t>
      </w:r>
      <w:r w:rsidR="00245EAF" w:rsidRPr="00033282">
        <w:rPr>
          <w:rFonts w:ascii="Century Gothic" w:hAnsi="Century Gothic"/>
          <w:sz w:val="21"/>
          <w:szCs w:val="21"/>
        </w:rPr>
        <w:t>A l’inverse, e</w:t>
      </w:r>
      <w:r w:rsidR="0035571E" w:rsidRPr="00033282">
        <w:rPr>
          <w:rFonts w:ascii="Century Gothic" w:hAnsi="Century Gothic"/>
          <w:sz w:val="21"/>
          <w:szCs w:val="21"/>
        </w:rPr>
        <w:t xml:space="preserve">n cas de marché de très faible montant ou de complexité moindre, vous pouvez </w:t>
      </w:r>
      <w:r w:rsidR="00245EAF" w:rsidRPr="00033282">
        <w:rPr>
          <w:rFonts w:ascii="Century Gothic" w:hAnsi="Century Gothic"/>
          <w:sz w:val="21"/>
          <w:szCs w:val="21"/>
        </w:rPr>
        <w:t>simplement</w:t>
      </w:r>
      <w:r w:rsidR="0035571E" w:rsidRPr="00033282">
        <w:rPr>
          <w:rFonts w:ascii="Century Gothic" w:hAnsi="Century Gothic"/>
          <w:sz w:val="21"/>
          <w:szCs w:val="21"/>
        </w:rPr>
        <w:t xml:space="preserve"> adresser un simple mail aux soumissionnaires. Celui-ci reprendra synthétiquement quelques données</w:t>
      </w:r>
      <w:r w:rsidR="00084C6E" w:rsidRPr="00033282">
        <w:rPr>
          <w:rFonts w:ascii="Century Gothic" w:hAnsi="Century Gothic"/>
          <w:sz w:val="21"/>
          <w:szCs w:val="21"/>
        </w:rPr>
        <w:t xml:space="preserve"> importantes qui permettront aux soumissionnaires de déposer utilement </w:t>
      </w:r>
      <w:r w:rsidR="00D91A8A" w:rsidRPr="00033282">
        <w:rPr>
          <w:rFonts w:ascii="Century Gothic" w:hAnsi="Century Gothic"/>
          <w:sz w:val="21"/>
          <w:szCs w:val="21"/>
        </w:rPr>
        <w:t xml:space="preserve">une </w:t>
      </w:r>
      <w:r w:rsidR="00084C6E" w:rsidRPr="00033282">
        <w:rPr>
          <w:rFonts w:ascii="Century Gothic" w:hAnsi="Century Gothic"/>
          <w:sz w:val="21"/>
          <w:szCs w:val="21"/>
        </w:rPr>
        <w:t>offre (voir outils liés -</w:t>
      </w:r>
      <w:r w:rsidR="00084C6E" w:rsidRPr="00033282">
        <w:t xml:space="preserve"> </w:t>
      </w:r>
      <w:r w:rsidR="00084C6E" w:rsidRPr="00033282">
        <w:rPr>
          <w:rFonts w:ascii="Century Gothic" w:hAnsi="Century Gothic"/>
          <w:sz w:val="21"/>
          <w:szCs w:val="21"/>
        </w:rPr>
        <w:t>modèle de mail de demande d’offre applicable pour les marchés de très faible montant ou de complexité moindre).</w:t>
      </w:r>
    </w:p>
    <w:p w14:paraId="7362FA47" w14:textId="419C22D0" w:rsidR="006065B6" w:rsidRPr="007248D1" w:rsidRDefault="006065B6" w:rsidP="003B5338">
      <w:pPr>
        <w:jc w:val="both"/>
        <w:rPr>
          <w:rFonts w:ascii="Century Gothic" w:hAnsi="Century Gothic"/>
          <w:sz w:val="21"/>
          <w:szCs w:val="21"/>
        </w:rPr>
      </w:pPr>
      <w:r w:rsidRPr="007248D1">
        <w:rPr>
          <w:rFonts w:ascii="Century Gothic" w:hAnsi="Century Gothic"/>
          <w:sz w:val="21"/>
          <w:szCs w:val="21"/>
        </w:rPr>
        <w:t>Il n’est pas nécessaire de prévoir des critères d’attribution autre</w:t>
      </w:r>
      <w:r w:rsidR="00746D2A">
        <w:rPr>
          <w:rFonts w:ascii="Century Gothic" w:hAnsi="Century Gothic"/>
          <w:sz w:val="21"/>
          <w:szCs w:val="21"/>
        </w:rPr>
        <w:t>s</w:t>
      </w:r>
      <w:r w:rsidRPr="007248D1">
        <w:rPr>
          <w:rFonts w:ascii="Century Gothic" w:hAnsi="Century Gothic"/>
          <w:sz w:val="21"/>
          <w:szCs w:val="21"/>
        </w:rPr>
        <w:t xml:space="preserve"> que le prix. Toutefois, si vous </w:t>
      </w:r>
      <w:r w:rsidR="00746D2A">
        <w:rPr>
          <w:rFonts w:ascii="Century Gothic" w:hAnsi="Century Gothic"/>
          <w:sz w:val="21"/>
          <w:szCs w:val="21"/>
        </w:rPr>
        <w:t xml:space="preserve">souhaitez attribuer le marché sur base du rapport qualité/prix et </w:t>
      </w:r>
      <w:r w:rsidRPr="007248D1">
        <w:rPr>
          <w:rFonts w:ascii="Century Gothic" w:hAnsi="Century Gothic"/>
          <w:sz w:val="21"/>
          <w:szCs w:val="21"/>
        </w:rPr>
        <w:t>insére</w:t>
      </w:r>
      <w:r w:rsidR="00E73AC3">
        <w:rPr>
          <w:rFonts w:ascii="Century Gothic" w:hAnsi="Century Gothic"/>
          <w:sz w:val="21"/>
          <w:szCs w:val="21"/>
        </w:rPr>
        <w:t>r</w:t>
      </w:r>
      <w:r w:rsidRPr="007248D1">
        <w:rPr>
          <w:rFonts w:ascii="Century Gothic" w:hAnsi="Century Gothic"/>
          <w:sz w:val="21"/>
          <w:szCs w:val="21"/>
        </w:rPr>
        <w:t xml:space="preserve"> des critères</w:t>
      </w:r>
      <w:r w:rsidR="00746D2A">
        <w:rPr>
          <w:rFonts w:ascii="Century Gothic" w:hAnsi="Century Gothic"/>
          <w:sz w:val="21"/>
          <w:szCs w:val="21"/>
        </w:rPr>
        <w:t xml:space="preserve"> d’attribution</w:t>
      </w:r>
      <w:r w:rsidRPr="007248D1">
        <w:rPr>
          <w:rFonts w:ascii="Century Gothic" w:hAnsi="Century Gothic"/>
          <w:sz w:val="21"/>
          <w:szCs w:val="21"/>
        </w:rPr>
        <w:t xml:space="preserve"> qualitatifs</w:t>
      </w:r>
      <w:r w:rsidR="00F402D0">
        <w:rPr>
          <w:rFonts w:ascii="Century Gothic" w:hAnsi="Century Gothic"/>
          <w:sz w:val="21"/>
          <w:szCs w:val="21"/>
        </w:rPr>
        <w:t xml:space="preserve"> dans le descriptif</w:t>
      </w:r>
      <w:r w:rsidR="00861A17" w:rsidRPr="007248D1">
        <w:rPr>
          <w:rFonts w:ascii="Century Gothic" w:hAnsi="Century Gothic"/>
          <w:sz w:val="21"/>
          <w:szCs w:val="21"/>
        </w:rPr>
        <w:t>,</w:t>
      </w:r>
      <w:r w:rsidRPr="007248D1">
        <w:rPr>
          <w:rFonts w:ascii="Century Gothic" w:hAnsi="Century Gothic"/>
          <w:sz w:val="21"/>
          <w:szCs w:val="21"/>
        </w:rPr>
        <w:t xml:space="preserve"> ceux-ci devront être suffisamment détaillés (principe de transparence) afin de permettre aux soumissionnaires de déposer leur offre en toute connaissance de cause.</w:t>
      </w:r>
    </w:p>
    <w:p w14:paraId="372866A3" w14:textId="3980468D" w:rsidR="006065B6" w:rsidRPr="005F528D" w:rsidRDefault="000D37CC" w:rsidP="000810E8">
      <w:pPr>
        <w:spacing w:after="0"/>
        <w:jc w:val="both"/>
        <w:rPr>
          <w:rFonts w:ascii="Century Gothic" w:hAnsi="Century Gothic"/>
          <w:i/>
          <w:sz w:val="21"/>
          <w:szCs w:val="21"/>
        </w:rPr>
      </w:pPr>
      <w:r w:rsidRPr="005F528D">
        <w:rPr>
          <w:rFonts w:ascii="Century Gothic" w:hAnsi="Century Gothic"/>
          <w:i/>
          <w:sz w:val="21"/>
          <w:szCs w:val="21"/>
          <w:u w:val="single"/>
        </w:rPr>
        <w:t>Conseil </w:t>
      </w:r>
      <w:r w:rsidRPr="005F528D">
        <w:rPr>
          <w:rFonts w:ascii="Century Gothic" w:hAnsi="Century Gothic"/>
          <w:i/>
          <w:sz w:val="21"/>
          <w:szCs w:val="21"/>
        </w:rPr>
        <w:t xml:space="preserve">: </w:t>
      </w:r>
      <w:r w:rsidR="006065B6" w:rsidRPr="005F528D">
        <w:rPr>
          <w:rFonts w:ascii="Century Gothic" w:hAnsi="Century Gothic"/>
          <w:i/>
          <w:sz w:val="21"/>
          <w:szCs w:val="21"/>
        </w:rPr>
        <w:t>Il peut également être utile de prévoir des modalités de vérification des prestations et de paiement dans le descriptif</w:t>
      </w:r>
      <w:r w:rsidR="00861A17" w:rsidRPr="005F528D">
        <w:rPr>
          <w:rFonts w:ascii="Century Gothic" w:hAnsi="Century Gothic"/>
          <w:i/>
          <w:sz w:val="21"/>
          <w:szCs w:val="21"/>
        </w:rPr>
        <w:t xml:space="preserve"> ou le bon de commande</w:t>
      </w:r>
      <w:r w:rsidR="006065B6" w:rsidRPr="005F528D">
        <w:rPr>
          <w:rFonts w:ascii="Century Gothic" w:hAnsi="Century Gothic"/>
          <w:i/>
          <w:sz w:val="21"/>
          <w:szCs w:val="21"/>
        </w:rPr>
        <w:t>, ne serait-ce que pour éviter de se voir imposer les conditions générales</w:t>
      </w:r>
      <w:r w:rsidR="0069492F" w:rsidRPr="005F528D">
        <w:rPr>
          <w:rFonts w:ascii="Century Gothic" w:hAnsi="Century Gothic"/>
          <w:i/>
          <w:sz w:val="21"/>
          <w:szCs w:val="21"/>
        </w:rPr>
        <w:t xml:space="preserve"> de vente</w:t>
      </w:r>
      <w:r w:rsidR="00890606">
        <w:rPr>
          <w:rFonts w:ascii="Century Gothic" w:hAnsi="Century Gothic"/>
          <w:i/>
          <w:sz w:val="21"/>
          <w:szCs w:val="21"/>
        </w:rPr>
        <w:t xml:space="preserve"> </w:t>
      </w:r>
      <w:r w:rsidR="00890606" w:rsidRPr="00E05B20">
        <w:rPr>
          <w:rFonts w:ascii="Century Gothic" w:hAnsi="Century Gothic"/>
          <w:i/>
          <w:sz w:val="21"/>
          <w:szCs w:val="21"/>
        </w:rPr>
        <w:t>de l’adjudicataire</w:t>
      </w:r>
      <w:r w:rsidR="006065B6" w:rsidRPr="005F528D">
        <w:rPr>
          <w:rFonts w:ascii="Century Gothic" w:hAnsi="Century Gothic"/>
          <w:i/>
          <w:sz w:val="21"/>
          <w:szCs w:val="21"/>
        </w:rPr>
        <w:t xml:space="preserve"> notamment quant aux délais de paiement.</w:t>
      </w:r>
    </w:p>
    <w:p w14:paraId="73C45BCB" w14:textId="77777777" w:rsidR="000810E8" w:rsidRPr="000810E8" w:rsidRDefault="000810E8" w:rsidP="000810E8">
      <w:pPr>
        <w:spacing w:after="0"/>
        <w:jc w:val="both"/>
        <w:rPr>
          <w:rFonts w:ascii="Century Gothic" w:hAnsi="Century Gothic"/>
        </w:rPr>
      </w:pPr>
    </w:p>
    <w:p w14:paraId="2A289100" w14:textId="0D548FF2" w:rsidR="000D37CC" w:rsidRDefault="004B28C8" w:rsidP="00827C63">
      <w:pPr>
        <w:pStyle w:val="Titre2"/>
        <w:numPr>
          <w:ilvl w:val="1"/>
          <w:numId w:val="15"/>
        </w:numPr>
        <w:jc w:val="both"/>
      </w:pPr>
      <w:bookmarkStart w:id="13" w:name="_Toc17296958"/>
      <w:bookmarkStart w:id="14" w:name="_Toc58491567"/>
      <w:r w:rsidRPr="00E05B20">
        <w:t>La remise facultative d’une offre</w:t>
      </w:r>
      <w:bookmarkEnd w:id="13"/>
      <w:bookmarkEnd w:id="14"/>
      <w:r w:rsidRPr="00E05B20">
        <w:t xml:space="preserve"> </w:t>
      </w:r>
    </w:p>
    <w:p w14:paraId="0022EA05" w14:textId="77777777" w:rsidR="00BF271E" w:rsidRPr="00BF271E" w:rsidRDefault="00BF271E" w:rsidP="00BF271E"/>
    <w:p w14:paraId="714F644B" w14:textId="19872A1D" w:rsidR="004B7E74" w:rsidRPr="007248D1" w:rsidRDefault="004B7E74" w:rsidP="003B5338">
      <w:pPr>
        <w:jc w:val="both"/>
        <w:rPr>
          <w:rFonts w:ascii="Century Gothic" w:hAnsi="Century Gothic"/>
          <w:sz w:val="21"/>
          <w:szCs w:val="21"/>
        </w:rPr>
      </w:pPr>
      <w:r w:rsidRPr="007248D1">
        <w:rPr>
          <w:rFonts w:ascii="Century Gothic" w:hAnsi="Century Gothic"/>
          <w:sz w:val="21"/>
          <w:szCs w:val="21"/>
        </w:rPr>
        <w:t xml:space="preserve">Le pouvoir adjudicateur </w:t>
      </w:r>
      <w:r w:rsidR="000A1B08" w:rsidRPr="007248D1">
        <w:rPr>
          <w:rFonts w:ascii="Century Gothic" w:hAnsi="Century Gothic"/>
          <w:sz w:val="21"/>
          <w:szCs w:val="21"/>
        </w:rPr>
        <w:t xml:space="preserve">n’est pas obligé de demander aux opérateurs économiques de remettre une offre. Il </w:t>
      </w:r>
      <w:r w:rsidRPr="007248D1">
        <w:rPr>
          <w:rFonts w:ascii="Century Gothic" w:hAnsi="Century Gothic"/>
          <w:sz w:val="21"/>
          <w:szCs w:val="21"/>
        </w:rPr>
        <w:t>p</w:t>
      </w:r>
      <w:r w:rsidR="00746D2A">
        <w:rPr>
          <w:rFonts w:ascii="Century Gothic" w:hAnsi="Century Gothic"/>
          <w:sz w:val="21"/>
          <w:szCs w:val="21"/>
        </w:rPr>
        <w:t>eut simplement</w:t>
      </w:r>
      <w:r w:rsidRPr="007248D1">
        <w:rPr>
          <w:rFonts w:ascii="Century Gothic" w:hAnsi="Century Gothic"/>
          <w:sz w:val="21"/>
          <w:szCs w:val="21"/>
        </w:rPr>
        <w:t xml:space="preserve"> choisir l’opérateur économique </w:t>
      </w:r>
      <w:r w:rsidR="00746D2A">
        <w:rPr>
          <w:rFonts w:ascii="Century Gothic" w:hAnsi="Century Gothic"/>
          <w:sz w:val="21"/>
          <w:szCs w:val="21"/>
        </w:rPr>
        <w:t xml:space="preserve">dont les conditions sont </w:t>
      </w:r>
      <w:r w:rsidRPr="007248D1">
        <w:rPr>
          <w:rFonts w:ascii="Century Gothic" w:hAnsi="Century Gothic"/>
          <w:sz w:val="21"/>
          <w:szCs w:val="21"/>
        </w:rPr>
        <w:t>le</w:t>
      </w:r>
      <w:r w:rsidR="00746D2A">
        <w:rPr>
          <w:rFonts w:ascii="Century Gothic" w:hAnsi="Century Gothic"/>
          <w:sz w:val="21"/>
          <w:szCs w:val="21"/>
        </w:rPr>
        <w:t>s</w:t>
      </w:r>
      <w:r w:rsidRPr="007248D1">
        <w:rPr>
          <w:rFonts w:ascii="Century Gothic" w:hAnsi="Century Gothic"/>
          <w:sz w:val="21"/>
          <w:szCs w:val="21"/>
        </w:rPr>
        <w:t xml:space="preserve"> plus </w:t>
      </w:r>
      <w:r w:rsidR="004C5599">
        <w:rPr>
          <w:rFonts w:ascii="Century Gothic" w:hAnsi="Century Gothic"/>
          <w:sz w:val="21"/>
          <w:szCs w:val="21"/>
        </w:rPr>
        <w:t>avantageuses</w:t>
      </w:r>
      <w:r w:rsidRPr="007248D1">
        <w:rPr>
          <w:rFonts w:ascii="Century Gothic" w:hAnsi="Century Gothic"/>
          <w:sz w:val="21"/>
          <w:szCs w:val="21"/>
        </w:rPr>
        <w:t xml:space="preserve"> en se basant sur la consultation de folders publicitaires, de sites internet, …</w:t>
      </w:r>
    </w:p>
    <w:p w14:paraId="0DC79366" w14:textId="3EEB93AA" w:rsidR="00B54F02" w:rsidRPr="005F528D" w:rsidRDefault="000D37CC" w:rsidP="00B54F02">
      <w:pPr>
        <w:spacing w:after="0"/>
        <w:jc w:val="both"/>
        <w:rPr>
          <w:rFonts w:ascii="Century Gothic" w:hAnsi="Century Gothic"/>
          <w:i/>
          <w:sz w:val="21"/>
          <w:szCs w:val="21"/>
        </w:rPr>
      </w:pPr>
      <w:r w:rsidRPr="005F528D">
        <w:rPr>
          <w:rFonts w:ascii="Century Gothic" w:hAnsi="Century Gothic"/>
          <w:i/>
          <w:sz w:val="21"/>
          <w:szCs w:val="21"/>
          <w:u w:val="single"/>
        </w:rPr>
        <w:t>Conseil</w:t>
      </w:r>
      <w:r w:rsidRPr="005F528D">
        <w:rPr>
          <w:rFonts w:ascii="Century Gothic" w:hAnsi="Century Gothic"/>
          <w:i/>
          <w:sz w:val="21"/>
          <w:szCs w:val="21"/>
        </w:rPr>
        <w:t xml:space="preserve"> : </w:t>
      </w:r>
      <w:r w:rsidR="000A1B08" w:rsidRPr="005F528D">
        <w:rPr>
          <w:rFonts w:ascii="Century Gothic" w:hAnsi="Century Gothic"/>
          <w:i/>
          <w:sz w:val="21"/>
          <w:szCs w:val="21"/>
        </w:rPr>
        <w:t xml:space="preserve">La remise d’une offre peut toutefois être préférable </w:t>
      </w:r>
      <w:r w:rsidR="006065B6" w:rsidRPr="005F528D">
        <w:rPr>
          <w:rFonts w:ascii="Century Gothic" w:hAnsi="Century Gothic"/>
          <w:i/>
          <w:sz w:val="21"/>
          <w:szCs w:val="21"/>
        </w:rPr>
        <w:t>pour des commandes</w:t>
      </w:r>
      <w:r w:rsidR="00746D2A">
        <w:rPr>
          <w:rFonts w:ascii="Century Gothic" w:hAnsi="Century Gothic"/>
          <w:i/>
          <w:sz w:val="21"/>
          <w:szCs w:val="21"/>
        </w:rPr>
        <w:t xml:space="preserve"> quantitativement</w:t>
      </w:r>
      <w:r w:rsidR="006065B6" w:rsidRPr="005F528D">
        <w:rPr>
          <w:rFonts w:ascii="Century Gothic" w:hAnsi="Century Gothic"/>
          <w:i/>
          <w:sz w:val="21"/>
          <w:szCs w:val="21"/>
        </w:rPr>
        <w:t xml:space="preserve"> plus importantes</w:t>
      </w:r>
      <w:r w:rsidR="00746D2A">
        <w:rPr>
          <w:rFonts w:ascii="Century Gothic" w:hAnsi="Century Gothic"/>
          <w:i/>
          <w:sz w:val="21"/>
          <w:szCs w:val="21"/>
        </w:rPr>
        <w:t xml:space="preserve"> ou plus complexes</w:t>
      </w:r>
      <w:r w:rsidR="006065B6" w:rsidRPr="005F528D">
        <w:rPr>
          <w:rFonts w:ascii="Century Gothic" w:hAnsi="Century Gothic"/>
          <w:i/>
          <w:sz w:val="21"/>
          <w:szCs w:val="21"/>
        </w:rPr>
        <w:t>. Elle permet</w:t>
      </w:r>
      <w:r w:rsidR="00746D2A">
        <w:rPr>
          <w:rFonts w:ascii="Century Gothic" w:hAnsi="Century Gothic"/>
          <w:i/>
          <w:sz w:val="21"/>
          <w:szCs w:val="21"/>
        </w:rPr>
        <w:t xml:space="preserve"> en effet</w:t>
      </w:r>
      <w:r w:rsidR="006065B6" w:rsidRPr="005F528D">
        <w:rPr>
          <w:rFonts w:ascii="Century Gothic" w:hAnsi="Century Gothic"/>
          <w:i/>
          <w:sz w:val="21"/>
          <w:szCs w:val="21"/>
        </w:rPr>
        <w:t xml:space="preserve"> de réduire les incertitudes quant à l'engagement de l'opérateur économique et conduit souvent à obtenir des offres davantage personnalisées ou plus avantageuses.</w:t>
      </w:r>
    </w:p>
    <w:p w14:paraId="3C6E772A" w14:textId="77777777" w:rsidR="000A1B08" w:rsidRPr="00334642" w:rsidRDefault="000A1B08" w:rsidP="003B5338">
      <w:pPr>
        <w:spacing w:after="0"/>
        <w:ind w:left="708"/>
        <w:jc w:val="both"/>
        <w:rPr>
          <w:rFonts w:ascii="Century Gothic" w:hAnsi="Century Gothic"/>
        </w:rPr>
      </w:pPr>
    </w:p>
    <w:p w14:paraId="4BEF537B" w14:textId="77777777" w:rsidR="005F528D" w:rsidRPr="00334642" w:rsidRDefault="005F528D" w:rsidP="005F528D">
      <w:pPr>
        <w:pStyle w:val="Titre2"/>
        <w:numPr>
          <w:ilvl w:val="1"/>
          <w:numId w:val="15"/>
        </w:numPr>
      </w:pPr>
      <w:bookmarkStart w:id="15" w:name="_Toc17296960"/>
      <w:bookmarkStart w:id="16" w:name="_Toc58491568"/>
      <w:r w:rsidRPr="00334642">
        <w:t>La négociation</w:t>
      </w:r>
      <w:bookmarkEnd w:id="15"/>
      <w:bookmarkEnd w:id="16"/>
    </w:p>
    <w:p w14:paraId="37627571" w14:textId="77777777" w:rsidR="005F528D" w:rsidRPr="00334642" w:rsidRDefault="005F528D" w:rsidP="005F528D">
      <w:pPr>
        <w:spacing w:after="0"/>
        <w:jc w:val="both"/>
        <w:rPr>
          <w:rFonts w:ascii="Century Gothic" w:hAnsi="Century Gothic"/>
        </w:rPr>
      </w:pPr>
    </w:p>
    <w:p w14:paraId="57404F22" w14:textId="77777777" w:rsidR="005F528D" w:rsidRPr="007248D1" w:rsidRDefault="005F528D" w:rsidP="005F528D">
      <w:pPr>
        <w:spacing w:after="0"/>
        <w:jc w:val="both"/>
        <w:rPr>
          <w:rFonts w:ascii="Century Gothic" w:hAnsi="Century Gothic"/>
          <w:sz w:val="21"/>
          <w:szCs w:val="21"/>
        </w:rPr>
      </w:pPr>
      <w:r w:rsidRPr="007248D1">
        <w:rPr>
          <w:rFonts w:ascii="Century Gothic" w:hAnsi="Century Gothic"/>
          <w:sz w:val="21"/>
          <w:szCs w:val="21"/>
        </w:rPr>
        <w:t xml:space="preserve">Il est possible de mener des négociations dans le cadre d’un marché de faible montant. Le pouvoir adjudicateur veillera à respecter le principe d’égalité de traitement. </w:t>
      </w:r>
    </w:p>
    <w:p w14:paraId="74DE4831" w14:textId="77777777" w:rsidR="004B7E74" w:rsidRPr="00334642" w:rsidRDefault="004B7E74" w:rsidP="005F528D">
      <w:pPr>
        <w:spacing w:after="0"/>
        <w:jc w:val="both"/>
        <w:rPr>
          <w:rFonts w:ascii="Century Gothic" w:hAnsi="Century Gothic"/>
        </w:rPr>
      </w:pPr>
    </w:p>
    <w:p w14:paraId="0E847A03" w14:textId="77777777" w:rsidR="004B7E74" w:rsidRPr="00334642" w:rsidRDefault="003B5338" w:rsidP="005F528D">
      <w:pPr>
        <w:pStyle w:val="Titre2"/>
        <w:numPr>
          <w:ilvl w:val="1"/>
          <w:numId w:val="15"/>
        </w:numPr>
      </w:pPr>
      <w:bookmarkStart w:id="17" w:name="_Toc17296959"/>
      <w:bookmarkStart w:id="18" w:name="_Toc58491569"/>
      <w:r w:rsidRPr="00334642">
        <w:t>La</w:t>
      </w:r>
      <w:r w:rsidR="004B7E74" w:rsidRPr="00334642">
        <w:t xml:space="preserve"> conclusion </w:t>
      </w:r>
      <w:r w:rsidR="00035E06">
        <w:t>du marché</w:t>
      </w:r>
      <w:bookmarkEnd w:id="17"/>
      <w:bookmarkEnd w:id="18"/>
      <w:r w:rsidR="00035E06">
        <w:t xml:space="preserve"> </w:t>
      </w:r>
    </w:p>
    <w:p w14:paraId="0B498276" w14:textId="77777777" w:rsidR="000D37CC" w:rsidRPr="00334642" w:rsidRDefault="000D37CC" w:rsidP="002D401E">
      <w:pPr>
        <w:spacing w:after="0"/>
        <w:jc w:val="both"/>
        <w:rPr>
          <w:rFonts w:ascii="Century Gothic" w:hAnsi="Century Gothic"/>
        </w:rPr>
      </w:pPr>
    </w:p>
    <w:p w14:paraId="1E1E9347" w14:textId="77777777" w:rsidR="003E4285" w:rsidRPr="007248D1" w:rsidRDefault="000D37CC" w:rsidP="003B5338">
      <w:pPr>
        <w:jc w:val="both"/>
        <w:rPr>
          <w:rFonts w:ascii="Century Gothic" w:hAnsi="Century Gothic"/>
          <w:sz w:val="21"/>
          <w:szCs w:val="21"/>
        </w:rPr>
      </w:pPr>
      <w:r w:rsidRPr="007248D1">
        <w:rPr>
          <w:rFonts w:ascii="Century Gothic" w:hAnsi="Century Gothic"/>
          <w:sz w:val="21"/>
          <w:szCs w:val="21"/>
        </w:rPr>
        <w:t>La conclusion</w:t>
      </w:r>
      <w:r w:rsidR="007D29FB" w:rsidRPr="007248D1">
        <w:rPr>
          <w:rFonts w:ascii="Century Gothic" w:hAnsi="Century Gothic"/>
          <w:sz w:val="21"/>
          <w:szCs w:val="21"/>
        </w:rPr>
        <w:t xml:space="preserve"> d’un marché de faible montant </w:t>
      </w:r>
      <w:r w:rsidR="007D29FB" w:rsidRPr="007248D1">
        <w:rPr>
          <w:rFonts w:ascii="Century Gothic" w:hAnsi="Century Gothic"/>
          <w:b/>
          <w:sz w:val="21"/>
          <w:szCs w:val="21"/>
        </w:rPr>
        <w:t>peut</w:t>
      </w:r>
      <w:r w:rsidR="007D29FB" w:rsidRPr="007248D1">
        <w:rPr>
          <w:rFonts w:ascii="Century Gothic" w:hAnsi="Century Gothic"/>
          <w:sz w:val="21"/>
          <w:szCs w:val="21"/>
        </w:rPr>
        <w:t xml:space="preserve"> se réaliser, au choix</w:t>
      </w:r>
      <w:r w:rsidR="003E4285" w:rsidRPr="007248D1">
        <w:rPr>
          <w:rFonts w:ascii="Century Gothic" w:hAnsi="Century Gothic"/>
          <w:sz w:val="21"/>
          <w:szCs w:val="21"/>
        </w:rPr>
        <w:t xml:space="preserve"> : </w:t>
      </w:r>
    </w:p>
    <w:p w14:paraId="1604DD4B" w14:textId="48F9AD3B" w:rsidR="006944EB" w:rsidRPr="007248D1" w:rsidRDefault="00326B2E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P</w:t>
      </w:r>
      <w:r w:rsidR="005F1978" w:rsidRPr="007248D1">
        <w:rPr>
          <w:rFonts w:ascii="Century Gothic" w:hAnsi="Century Gothic"/>
          <w:sz w:val="21"/>
          <w:szCs w:val="21"/>
        </w:rPr>
        <w:t>ar facture acceptée</w:t>
      </w:r>
      <w:r w:rsidR="00035E06" w:rsidRPr="007248D1">
        <w:rPr>
          <w:rFonts w:ascii="Century Gothic" w:hAnsi="Century Gothic"/>
          <w:sz w:val="21"/>
          <w:szCs w:val="21"/>
        </w:rPr>
        <w:t>,</w:t>
      </w:r>
      <w:r w:rsidR="003E4285" w:rsidRPr="007248D1">
        <w:rPr>
          <w:rFonts w:ascii="Century Gothic" w:hAnsi="Century Gothic"/>
          <w:sz w:val="21"/>
          <w:szCs w:val="21"/>
        </w:rPr>
        <w:t xml:space="preserve"> </w:t>
      </w:r>
      <w:r w:rsidR="005F1978" w:rsidRPr="007248D1">
        <w:rPr>
          <w:rFonts w:ascii="Century Gothic" w:hAnsi="Century Gothic"/>
          <w:sz w:val="21"/>
          <w:szCs w:val="21"/>
        </w:rPr>
        <w:t>la facture va</w:t>
      </w:r>
      <w:r w:rsidR="006F6D40">
        <w:rPr>
          <w:rFonts w:ascii="Century Gothic" w:hAnsi="Century Gothic"/>
          <w:sz w:val="21"/>
          <w:szCs w:val="21"/>
        </w:rPr>
        <w:t>lan</w:t>
      </w:r>
      <w:r w:rsidR="005F1978" w:rsidRPr="007248D1">
        <w:rPr>
          <w:rFonts w:ascii="Century Gothic" w:hAnsi="Century Gothic"/>
          <w:sz w:val="21"/>
          <w:szCs w:val="21"/>
        </w:rPr>
        <w:t>t preuve de la conclusion du contrat</w:t>
      </w:r>
      <w:r w:rsidR="003E4285" w:rsidRPr="007248D1">
        <w:rPr>
          <w:rFonts w:ascii="Century Gothic" w:hAnsi="Century Gothic"/>
          <w:sz w:val="21"/>
          <w:szCs w:val="21"/>
        </w:rPr>
        <w:t xml:space="preserve"> ; </w:t>
      </w:r>
    </w:p>
    <w:p w14:paraId="53AA3932" w14:textId="2D77912B" w:rsidR="006944EB" w:rsidRPr="007248D1" w:rsidRDefault="00326B2E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P</w:t>
      </w:r>
      <w:r w:rsidR="00035E06" w:rsidRPr="007248D1">
        <w:rPr>
          <w:rFonts w:ascii="Century Gothic" w:hAnsi="Century Gothic"/>
          <w:sz w:val="21"/>
          <w:szCs w:val="21"/>
        </w:rPr>
        <w:t>ar notification d</w:t>
      </w:r>
      <w:r w:rsidR="00F402D0">
        <w:rPr>
          <w:rFonts w:ascii="Century Gothic" w:hAnsi="Century Gothic"/>
          <w:sz w:val="21"/>
          <w:szCs w:val="21"/>
        </w:rPr>
        <w:t>e l’</w:t>
      </w:r>
      <w:r w:rsidR="00035E06" w:rsidRPr="007248D1">
        <w:rPr>
          <w:rFonts w:ascii="Century Gothic" w:hAnsi="Century Gothic"/>
          <w:sz w:val="21"/>
          <w:szCs w:val="21"/>
        </w:rPr>
        <w:t>offre</w:t>
      </w:r>
      <w:r w:rsidR="00F402D0">
        <w:rPr>
          <w:rFonts w:ascii="Century Gothic" w:hAnsi="Century Gothic"/>
          <w:sz w:val="21"/>
          <w:szCs w:val="21"/>
        </w:rPr>
        <w:t xml:space="preserve"> retenue</w:t>
      </w:r>
      <w:r w:rsidR="00746D2A">
        <w:rPr>
          <w:rFonts w:ascii="Century Gothic" w:hAnsi="Century Gothic"/>
          <w:sz w:val="21"/>
          <w:szCs w:val="21"/>
        </w:rPr>
        <w:t xml:space="preserve"> </w:t>
      </w:r>
      <w:r w:rsidR="00D6351B" w:rsidRPr="007248D1">
        <w:rPr>
          <w:rFonts w:ascii="Century Gothic" w:hAnsi="Century Gothic"/>
          <w:sz w:val="21"/>
          <w:szCs w:val="21"/>
        </w:rPr>
        <w:t>(</w:t>
      </w:r>
      <w:r w:rsidR="00E6698D">
        <w:rPr>
          <w:rFonts w:ascii="Century Gothic" w:hAnsi="Century Gothic"/>
          <w:sz w:val="21"/>
          <w:szCs w:val="21"/>
        </w:rPr>
        <w:t xml:space="preserve">voir outils liés - </w:t>
      </w:r>
      <w:r w:rsidR="008348B6" w:rsidRPr="007248D1">
        <w:rPr>
          <w:rFonts w:ascii="Century Gothic" w:hAnsi="Century Gothic"/>
          <w:sz w:val="21"/>
          <w:szCs w:val="21"/>
        </w:rPr>
        <w:t>modèle de lettre</w:t>
      </w:r>
      <w:r w:rsidR="00A52688">
        <w:rPr>
          <w:rFonts w:ascii="Century Gothic" w:hAnsi="Century Gothic"/>
          <w:sz w:val="21"/>
          <w:szCs w:val="21"/>
        </w:rPr>
        <w:t xml:space="preserve"> de notification</w:t>
      </w:r>
      <w:r w:rsidR="008348B6" w:rsidRPr="007248D1">
        <w:rPr>
          <w:rFonts w:ascii="Century Gothic" w:hAnsi="Century Gothic"/>
          <w:sz w:val="21"/>
          <w:szCs w:val="21"/>
        </w:rPr>
        <w:t xml:space="preserve"> </w:t>
      </w:r>
      <w:r w:rsidR="00E6698D">
        <w:rPr>
          <w:rFonts w:ascii="Century Gothic" w:hAnsi="Century Gothic"/>
          <w:sz w:val="21"/>
          <w:szCs w:val="21"/>
        </w:rPr>
        <w:t>et</w:t>
      </w:r>
      <w:r w:rsidR="00D6351B" w:rsidRPr="007248D1">
        <w:rPr>
          <w:rFonts w:ascii="Century Gothic" w:hAnsi="Century Gothic"/>
          <w:sz w:val="21"/>
          <w:szCs w:val="21"/>
        </w:rPr>
        <w:t xml:space="preserve"> fiche conclusion</w:t>
      </w:r>
      <w:r w:rsidR="00547A1F">
        <w:rPr>
          <w:rFonts w:ascii="Century Gothic" w:hAnsi="Century Gothic"/>
          <w:sz w:val="21"/>
          <w:szCs w:val="21"/>
        </w:rPr>
        <w:t xml:space="preserve"> d’un marché public</w:t>
      </w:r>
      <w:r w:rsidR="00D6351B" w:rsidRPr="007248D1">
        <w:rPr>
          <w:rFonts w:ascii="Century Gothic" w:hAnsi="Century Gothic"/>
          <w:sz w:val="21"/>
          <w:szCs w:val="21"/>
        </w:rPr>
        <w:t>)</w:t>
      </w:r>
      <w:r w:rsidR="008348B6" w:rsidRPr="007248D1">
        <w:rPr>
          <w:rFonts w:ascii="Century Gothic" w:hAnsi="Century Gothic"/>
          <w:sz w:val="21"/>
          <w:szCs w:val="21"/>
        </w:rPr>
        <w:t>.</w:t>
      </w:r>
    </w:p>
    <w:p w14:paraId="5D338EE4" w14:textId="18CF22A0" w:rsidR="0082530B" w:rsidRPr="00334642" w:rsidRDefault="00473A16" w:rsidP="002D401E">
      <w:pPr>
        <w:spacing w:after="0"/>
        <w:jc w:val="both"/>
      </w:pPr>
      <w:r w:rsidRPr="005F528D">
        <w:rPr>
          <w:rFonts w:ascii="Century Gothic" w:hAnsi="Century Gothic"/>
          <w:i/>
          <w:sz w:val="21"/>
          <w:szCs w:val="21"/>
          <w:u w:val="single"/>
        </w:rPr>
        <w:lastRenderedPageBreak/>
        <w:t>Conseil</w:t>
      </w:r>
      <w:r w:rsidRPr="005F528D">
        <w:rPr>
          <w:rFonts w:ascii="Century Gothic" w:hAnsi="Century Gothic"/>
          <w:i/>
          <w:sz w:val="21"/>
          <w:szCs w:val="21"/>
        </w:rPr>
        <w:t xml:space="preserve"> : </w:t>
      </w:r>
      <w:r w:rsidR="003B5338" w:rsidRPr="005F528D">
        <w:rPr>
          <w:rFonts w:ascii="Century Gothic" w:hAnsi="Century Gothic"/>
          <w:i/>
          <w:sz w:val="21"/>
          <w:szCs w:val="21"/>
        </w:rPr>
        <w:t>La</w:t>
      </w:r>
      <w:r w:rsidR="004B7E74" w:rsidRPr="005F528D">
        <w:rPr>
          <w:rFonts w:ascii="Century Gothic" w:hAnsi="Century Gothic"/>
          <w:i/>
          <w:sz w:val="21"/>
          <w:szCs w:val="21"/>
        </w:rPr>
        <w:t xml:space="preserve"> </w:t>
      </w:r>
      <w:r w:rsidR="007D29FB" w:rsidRPr="005F528D">
        <w:rPr>
          <w:rFonts w:ascii="Century Gothic" w:hAnsi="Century Gothic"/>
          <w:i/>
          <w:sz w:val="21"/>
          <w:szCs w:val="21"/>
        </w:rPr>
        <w:t xml:space="preserve">conclusion </w:t>
      </w:r>
      <w:r w:rsidR="004B7E74" w:rsidRPr="005F528D">
        <w:rPr>
          <w:rFonts w:ascii="Century Gothic" w:hAnsi="Century Gothic"/>
          <w:i/>
          <w:sz w:val="21"/>
          <w:szCs w:val="21"/>
        </w:rPr>
        <w:t xml:space="preserve">du marché de faible montant </w:t>
      </w:r>
      <w:r w:rsidR="006D4200" w:rsidRPr="005F528D">
        <w:rPr>
          <w:rFonts w:ascii="Century Gothic" w:hAnsi="Century Gothic"/>
          <w:i/>
          <w:sz w:val="21"/>
          <w:szCs w:val="21"/>
        </w:rPr>
        <w:t xml:space="preserve">par simple facture acceptée </w:t>
      </w:r>
      <w:r w:rsidR="007D29FB" w:rsidRPr="005F528D">
        <w:rPr>
          <w:rFonts w:ascii="Century Gothic" w:hAnsi="Century Gothic"/>
          <w:i/>
          <w:sz w:val="21"/>
          <w:szCs w:val="21"/>
        </w:rPr>
        <w:t>est préconisé</w:t>
      </w:r>
      <w:r w:rsidR="006D4200" w:rsidRPr="005F528D">
        <w:rPr>
          <w:rFonts w:ascii="Century Gothic" w:hAnsi="Century Gothic"/>
          <w:i/>
          <w:sz w:val="21"/>
          <w:szCs w:val="21"/>
        </w:rPr>
        <w:t>e</w:t>
      </w:r>
      <w:r w:rsidR="007D29FB" w:rsidRPr="005F528D">
        <w:rPr>
          <w:rFonts w:ascii="Century Gothic" w:hAnsi="Century Gothic"/>
          <w:i/>
          <w:sz w:val="21"/>
          <w:szCs w:val="21"/>
        </w:rPr>
        <w:t xml:space="preserve"> pour les petites commandes, sans complexité, ne nécessitant pas de suivi ou de vérification importante et susceptibles d’un paiement rapide</w:t>
      </w:r>
      <w:r w:rsidR="00E5370D" w:rsidRPr="007248D1">
        <w:rPr>
          <w:rFonts w:ascii="Century Gothic" w:hAnsi="Century Gothic"/>
          <w:sz w:val="21"/>
          <w:szCs w:val="21"/>
        </w:rPr>
        <w:t>.</w:t>
      </w:r>
    </w:p>
    <w:p w14:paraId="31E4BA3B" w14:textId="281F72D4" w:rsidR="004422C0" w:rsidRDefault="004422C0" w:rsidP="005F528D">
      <w:pPr>
        <w:pStyle w:val="Titre1"/>
        <w:numPr>
          <w:ilvl w:val="0"/>
          <w:numId w:val="15"/>
        </w:numPr>
        <w:rPr>
          <w:rFonts w:eastAsia="Times New Roman"/>
          <w:lang w:val="fr-FR" w:eastAsia="fr-FR"/>
        </w:rPr>
      </w:pPr>
      <w:bookmarkStart w:id="19" w:name="_Toc17296961"/>
      <w:bookmarkStart w:id="20" w:name="_Toc58491570"/>
      <w:r w:rsidRPr="00334642">
        <w:rPr>
          <w:rFonts w:eastAsia="Times New Roman"/>
          <w:lang w:val="fr-FR" w:eastAsia="fr-FR"/>
        </w:rPr>
        <w:t xml:space="preserve">Quelles règles s’appliquent lors de </w:t>
      </w:r>
      <w:bookmarkEnd w:id="19"/>
      <w:r w:rsidR="006F6D40" w:rsidRPr="00334642">
        <w:rPr>
          <w:rFonts w:eastAsia="Times New Roman"/>
          <w:lang w:val="fr-FR" w:eastAsia="fr-FR"/>
        </w:rPr>
        <w:t>l’exécution ?</w:t>
      </w:r>
      <w:bookmarkEnd w:id="20"/>
    </w:p>
    <w:p w14:paraId="2005C7CF" w14:textId="77777777" w:rsidR="005E5BC9" w:rsidRPr="000810E8" w:rsidRDefault="005E5BC9" w:rsidP="000810E8">
      <w:pPr>
        <w:spacing w:after="0"/>
        <w:rPr>
          <w:lang w:val="fr-FR" w:eastAsia="fr-FR"/>
        </w:rPr>
      </w:pPr>
    </w:p>
    <w:p w14:paraId="7A93E12F" w14:textId="15AAC84C" w:rsidR="004422C0" w:rsidRPr="007248D1" w:rsidRDefault="00B06A4F" w:rsidP="000E7173">
      <w:pPr>
        <w:pStyle w:val="Default"/>
        <w:jc w:val="both"/>
        <w:rPr>
          <w:rFonts w:ascii="Century Gothic" w:hAnsi="Century Gothic"/>
          <w:sz w:val="21"/>
          <w:szCs w:val="21"/>
        </w:rPr>
      </w:pPr>
      <w:r w:rsidRPr="007248D1">
        <w:rPr>
          <w:rFonts w:ascii="Century Gothic" w:hAnsi="Century Gothic"/>
          <w:sz w:val="21"/>
          <w:szCs w:val="21"/>
        </w:rPr>
        <w:t xml:space="preserve">En principe, les </w:t>
      </w:r>
      <w:r w:rsidR="006D2482" w:rsidRPr="007248D1">
        <w:rPr>
          <w:rFonts w:ascii="Century Gothic" w:hAnsi="Century Gothic"/>
          <w:sz w:val="21"/>
          <w:szCs w:val="21"/>
        </w:rPr>
        <w:t>règles</w:t>
      </w:r>
      <w:r w:rsidRPr="007248D1">
        <w:rPr>
          <w:rFonts w:ascii="Century Gothic" w:hAnsi="Century Gothic"/>
          <w:sz w:val="21"/>
          <w:szCs w:val="21"/>
        </w:rPr>
        <w:t xml:space="preserve"> générales d’exécution</w:t>
      </w:r>
      <w:r w:rsidR="00746D2A">
        <w:rPr>
          <w:rFonts w:ascii="Century Gothic" w:hAnsi="Century Gothic"/>
          <w:sz w:val="21"/>
          <w:szCs w:val="21"/>
        </w:rPr>
        <w:t xml:space="preserve"> (RGE)</w:t>
      </w:r>
      <w:r w:rsidR="00035E06" w:rsidRPr="006F6D40">
        <w:rPr>
          <w:rFonts w:ascii="Century Gothic" w:hAnsi="Century Gothic"/>
          <w:sz w:val="21"/>
          <w:szCs w:val="21"/>
        </w:rPr>
        <w:t xml:space="preserve"> </w:t>
      </w:r>
      <w:r w:rsidR="004422C0" w:rsidRPr="007248D1">
        <w:rPr>
          <w:rFonts w:ascii="Century Gothic" w:hAnsi="Century Gothic"/>
          <w:iCs/>
          <w:sz w:val="21"/>
          <w:szCs w:val="21"/>
        </w:rPr>
        <w:t>n</w:t>
      </w:r>
      <w:r w:rsidRPr="007248D1">
        <w:rPr>
          <w:rFonts w:ascii="Century Gothic" w:hAnsi="Century Gothic"/>
          <w:iCs/>
          <w:sz w:val="21"/>
          <w:szCs w:val="21"/>
        </w:rPr>
        <w:t>e sont</w:t>
      </w:r>
      <w:r w:rsidR="004422C0" w:rsidRPr="007248D1">
        <w:rPr>
          <w:rFonts w:ascii="Century Gothic" w:hAnsi="Century Gothic"/>
          <w:iCs/>
          <w:sz w:val="21"/>
          <w:szCs w:val="21"/>
        </w:rPr>
        <w:t xml:space="preserve"> pas </w:t>
      </w:r>
      <w:r w:rsidR="000E7173" w:rsidRPr="007248D1">
        <w:rPr>
          <w:rFonts w:ascii="Century Gothic" w:hAnsi="Century Gothic"/>
          <w:iCs/>
          <w:sz w:val="21"/>
          <w:szCs w:val="21"/>
        </w:rPr>
        <w:t>applicables</w:t>
      </w:r>
      <w:r w:rsidR="004422C0" w:rsidRPr="007248D1">
        <w:rPr>
          <w:rFonts w:ascii="Century Gothic" w:hAnsi="Century Gothic"/>
          <w:iCs/>
          <w:sz w:val="21"/>
          <w:szCs w:val="21"/>
        </w:rPr>
        <w:t xml:space="preserve"> aux marchés dont le montant estimé n’atteint pas 30.000 euros</w:t>
      </w:r>
      <w:r w:rsidR="00D420F1">
        <w:rPr>
          <w:rFonts w:ascii="Century Gothic" w:hAnsi="Century Gothic"/>
          <w:iCs/>
          <w:sz w:val="21"/>
          <w:szCs w:val="21"/>
        </w:rPr>
        <w:t xml:space="preserve"> et donc aux marchés de faible montant</w:t>
      </w:r>
      <w:r w:rsidR="006F6D40">
        <w:rPr>
          <w:rFonts w:ascii="Century Gothic" w:hAnsi="Century Gothic"/>
          <w:iCs/>
          <w:sz w:val="21"/>
          <w:szCs w:val="21"/>
        </w:rPr>
        <w:t>. C’est donc le droit commun</w:t>
      </w:r>
      <w:r w:rsidR="00D420F1">
        <w:rPr>
          <w:rFonts w:ascii="Century Gothic" w:hAnsi="Century Gothic"/>
          <w:iCs/>
          <w:sz w:val="21"/>
          <w:szCs w:val="21"/>
        </w:rPr>
        <w:t xml:space="preserve"> </w:t>
      </w:r>
      <w:r w:rsidR="006F6D40">
        <w:rPr>
          <w:rFonts w:ascii="Century Gothic" w:hAnsi="Century Gothic"/>
          <w:iCs/>
          <w:sz w:val="21"/>
          <w:szCs w:val="21"/>
        </w:rPr>
        <w:t>(</w:t>
      </w:r>
      <w:r w:rsidR="003E4285" w:rsidRPr="007248D1">
        <w:rPr>
          <w:rFonts w:ascii="Century Gothic" w:hAnsi="Century Gothic"/>
          <w:iCs/>
          <w:sz w:val="21"/>
          <w:szCs w:val="21"/>
        </w:rPr>
        <w:t>les règles du Code civil</w:t>
      </w:r>
      <w:r w:rsidR="006F6D40">
        <w:rPr>
          <w:rFonts w:ascii="Century Gothic" w:hAnsi="Century Gothic"/>
          <w:iCs/>
          <w:sz w:val="21"/>
          <w:szCs w:val="21"/>
        </w:rPr>
        <w:t>) qui s’applique</w:t>
      </w:r>
      <w:r w:rsidR="004422C0" w:rsidRPr="007248D1">
        <w:rPr>
          <w:rFonts w:ascii="Century Gothic" w:hAnsi="Century Gothic"/>
          <w:iCs/>
          <w:sz w:val="21"/>
          <w:szCs w:val="21"/>
        </w:rPr>
        <w:t xml:space="preserve">. </w:t>
      </w:r>
    </w:p>
    <w:p w14:paraId="1632C4AF" w14:textId="77777777" w:rsidR="004422C0" w:rsidRPr="007248D1" w:rsidRDefault="004422C0" w:rsidP="000E7173">
      <w:pPr>
        <w:spacing w:after="0"/>
        <w:ind w:left="708"/>
        <w:jc w:val="both"/>
        <w:rPr>
          <w:rFonts w:ascii="Century Gothic" w:hAnsi="Century Gothic"/>
          <w:sz w:val="21"/>
          <w:szCs w:val="21"/>
        </w:rPr>
      </w:pPr>
    </w:p>
    <w:p w14:paraId="34B023C0" w14:textId="17585CDB" w:rsidR="004422C0" w:rsidRPr="007248D1" w:rsidRDefault="004422C0" w:rsidP="000E7173">
      <w:pPr>
        <w:jc w:val="both"/>
        <w:rPr>
          <w:rFonts w:ascii="Century Gothic" w:hAnsi="Century Gothic"/>
          <w:sz w:val="21"/>
          <w:szCs w:val="21"/>
        </w:rPr>
      </w:pPr>
      <w:r w:rsidRPr="007248D1">
        <w:rPr>
          <w:rFonts w:ascii="Century Gothic" w:hAnsi="Century Gothic"/>
          <w:sz w:val="21"/>
          <w:szCs w:val="21"/>
        </w:rPr>
        <w:t xml:space="preserve">Toutefois, il est </w:t>
      </w:r>
      <w:r w:rsidR="00B80DFF">
        <w:rPr>
          <w:rFonts w:ascii="Century Gothic" w:hAnsi="Century Gothic"/>
          <w:sz w:val="21"/>
          <w:szCs w:val="21"/>
        </w:rPr>
        <w:t>recommandé</w:t>
      </w:r>
      <w:r w:rsidRPr="007248D1">
        <w:rPr>
          <w:rFonts w:ascii="Century Gothic" w:hAnsi="Century Gothic"/>
          <w:sz w:val="21"/>
          <w:szCs w:val="21"/>
        </w:rPr>
        <w:t xml:space="preserve"> de rendre applicable à un marché de faible montant tout ou partie des règles générales d’exécutio</w:t>
      </w:r>
      <w:r w:rsidR="00CA1E2D" w:rsidRPr="007248D1">
        <w:rPr>
          <w:rFonts w:ascii="Century Gothic" w:hAnsi="Century Gothic"/>
          <w:sz w:val="21"/>
          <w:szCs w:val="21"/>
        </w:rPr>
        <w:t>n, afin d’éviter</w:t>
      </w:r>
      <w:r w:rsidR="00CB785E" w:rsidRPr="007248D1">
        <w:rPr>
          <w:rFonts w:ascii="Century Gothic" w:hAnsi="Century Gothic"/>
          <w:sz w:val="21"/>
          <w:szCs w:val="21"/>
        </w:rPr>
        <w:t xml:space="preserve"> </w:t>
      </w:r>
      <w:r w:rsidR="00CA1E2D" w:rsidRPr="007248D1">
        <w:rPr>
          <w:rFonts w:ascii="Century Gothic" w:hAnsi="Century Gothic"/>
          <w:sz w:val="21"/>
          <w:szCs w:val="21"/>
        </w:rPr>
        <w:t>de se voir</w:t>
      </w:r>
      <w:r w:rsidRPr="007248D1">
        <w:rPr>
          <w:rFonts w:ascii="Century Gothic" w:hAnsi="Century Gothic"/>
          <w:sz w:val="21"/>
          <w:szCs w:val="21"/>
        </w:rPr>
        <w:t xml:space="preserve"> imposer les condition</w:t>
      </w:r>
      <w:r w:rsidR="00CA1E2D" w:rsidRPr="007248D1">
        <w:rPr>
          <w:rFonts w:ascii="Century Gothic" w:hAnsi="Century Gothic"/>
          <w:sz w:val="21"/>
          <w:szCs w:val="21"/>
        </w:rPr>
        <w:t>s générales</w:t>
      </w:r>
      <w:r w:rsidR="008A69BD" w:rsidRPr="007248D1">
        <w:rPr>
          <w:rFonts w:ascii="Century Gothic" w:hAnsi="Century Gothic"/>
          <w:sz w:val="21"/>
          <w:szCs w:val="21"/>
        </w:rPr>
        <w:t xml:space="preserve"> de vente</w:t>
      </w:r>
      <w:r w:rsidR="00CA1E2D" w:rsidRPr="007248D1">
        <w:rPr>
          <w:rFonts w:ascii="Century Gothic" w:hAnsi="Century Gothic"/>
          <w:sz w:val="21"/>
          <w:szCs w:val="21"/>
        </w:rPr>
        <w:t xml:space="preserve"> de chacun des opérateurs économiques, </w:t>
      </w:r>
      <w:r w:rsidRPr="007248D1">
        <w:rPr>
          <w:rFonts w:ascii="Century Gothic" w:hAnsi="Century Gothic"/>
          <w:sz w:val="21"/>
          <w:szCs w:val="21"/>
        </w:rPr>
        <w:t>notamment quant aux délais de paiement.</w:t>
      </w:r>
    </w:p>
    <w:p w14:paraId="64583CBD" w14:textId="77777777" w:rsidR="00CA1E2D" w:rsidRPr="007248D1" w:rsidRDefault="003E4285" w:rsidP="000E7173">
      <w:pPr>
        <w:spacing w:after="0"/>
        <w:jc w:val="both"/>
        <w:rPr>
          <w:rFonts w:ascii="Century Gothic" w:hAnsi="Century Gothic"/>
          <w:sz w:val="21"/>
          <w:szCs w:val="21"/>
        </w:rPr>
      </w:pPr>
      <w:r w:rsidRPr="007248D1">
        <w:rPr>
          <w:rFonts w:ascii="Century Gothic" w:hAnsi="Century Gothic"/>
          <w:sz w:val="21"/>
          <w:szCs w:val="21"/>
        </w:rPr>
        <w:t xml:space="preserve">Si certaines règles générales d’exécution sont rendues applicables, elles seront obligatoires durant toute la durée du marché. </w:t>
      </w:r>
    </w:p>
    <w:p w14:paraId="281EFD26" w14:textId="3A246867" w:rsidR="00E525F8" w:rsidRPr="00334642" w:rsidRDefault="00E525F8" w:rsidP="005F528D">
      <w:pPr>
        <w:pStyle w:val="Titre1"/>
        <w:numPr>
          <w:ilvl w:val="0"/>
          <w:numId w:val="15"/>
        </w:numPr>
        <w:jc w:val="both"/>
        <w:rPr>
          <w:rFonts w:eastAsia="Times New Roman"/>
          <w:lang w:val="fr-FR" w:eastAsia="fr-FR"/>
        </w:rPr>
      </w:pPr>
      <w:bookmarkStart w:id="21" w:name="_Toc17296962"/>
      <w:bookmarkStart w:id="22" w:name="_Toc58491571"/>
      <w:r w:rsidRPr="00334642">
        <w:rPr>
          <w:rFonts w:eastAsia="Times New Roman"/>
          <w:lang w:val="fr-FR" w:eastAsia="fr-FR"/>
        </w:rPr>
        <w:t>Quelles règles s’appliquent en matière de motivation</w:t>
      </w:r>
      <w:r w:rsidR="00035E06">
        <w:rPr>
          <w:rFonts w:eastAsia="Times New Roman"/>
          <w:lang w:val="fr-FR" w:eastAsia="fr-FR"/>
        </w:rPr>
        <w:t xml:space="preserve"> et</w:t>
      </w:r>
      <w:r w:rsidR="007248D1">
        <w:rPr>
          <w:rFonts w:eastAsia="Times New Roman"/>
          <w:lang w:val="fr-FR" w:eastAsia="fr-FR"/>
        </w:rPr>
        <w:t xml:space="preserve"> </w:t>
      </w:r>
      <w:bookmarkEnd w:id="21"/>
      <w:r w:rsidR="006F6D40" w:rsidRPr="00334642">
        <w:rPr>
          <w:rFonts w:eastAsia="Times New Roman"/>
          <w:lang w:val="fr-FR" w:eastAsia="fr-FR"/>
        </w:rPr>
        <w:t>d’information ?</w:t>
      </w:r>
      <w:bookmarkEnd w:id="22"/>
    </w:p>
    <w:p w14:paraId="47E25027" w14:textId="77777777" w:rsidR="009426A6" w:rsidRPr="00334642" w:rsidRDefault="009426A6" w:rsidP="002D401E">
      <w:pPr>
        <w:spacing w:after="0"/>
        <w:jc w:val="both"/>
        <w:rPr>
          <w:rFonts w:ascii="Century Gothic" w:hAnsi="Century Gothic"/>
        </w:rPr>
      </w:pPr>
    </w:p>
    <w:p w14:paraId="5029CE98" w14:textId="77777777" w:rsidR="00483D72" w:rsidRPr="007248D1" w:rsidRDefault="00B06A4F" w:rsidP="000E7173">
      <w:pPr>
        <w:jc w:val="both"/>
        <w:rPr>
          <w:rFonts w:ascii="Century Gothic" w:hAnsi="Century Gothic"/>
          <w:sz w:val="21"/>
          <w:szCs w:val="21"/>
        </w:rPr>
      </w:pPr>
      <w:r w:rsidRPr="007248D1">
        <w:rPr>
          <w:rFonts w:ascii="Century Gothic" w:hAnsi="Century Gothic"/>
          <w:sz w:val="21"/>
          <w:szCs w:val="21"/>
        </w:rPr>
        <w:t xml:space="preserve">La </w:t>
      </w:r>
      <w:r w:rsidR="00483D72" w:rsidRPr="007248D1">
        <w:rPr>
          <w:rFonts w:ascii="Century Gothic" w:hAnsi="Century Gothic"/>
          <w:sz w:val="21"/>
          <w:szCs w:val="21"/>
        </w:rPr>
        <w:t>loi du 17 juin 2013 relative à la motivation, l’information et aux voies de recours en matière</w:t>
      </w:r>
      <w:r w:rsidR="00CB4B9D" w:rsidRPr="007248D1">
        <w:rPr>
          <w:rFonts w:ascii="Century Gothic" w:hAnsi="Century Gothic"/>
          <w:sz w:val="21"/>
          <w:szCs w:val="21"/>
        </w:rPr>
        <w:t xml:space="preserve"> de marchés publics n’est pas applicable aux marchés publics de faible montant.</w:t>
      </w:r>
    </w:p>
    <w:p w14:paraId="6EE782AB" w14:textId="1AB113A3" w:rsidR="001465A8" w:rsidRPr="007248D1" w:rsidRDefault="002357E3" w:rsidP="000E7173">
      <w:pPr>
        <w:jc w:val="both"/>
        <w:rPr>
          <w:rFonts w:ascii="Century Gothic" w:hAnsi="Century Gothic"/>
          <w:sz w:val="21"/>
          <w:szCs w:val="21"/>
        </w:rPr>
      </w:pPr>
      <w:r w:rsidRPr="007248D1">
        <w:rPr>
          <w:rFonts w:ascii="Century Gothic" w:hAnsi="Century Gothic"/>
          <w:sz w:val="21"/>
          <w:szCs w:val="21"/>
        </w:rPr>
        <w:t>Ceci ne signifie</w:t>
      </w:r>
      <w:r w:rsidR="00CB4B9D" w:rsidRPr="007248D1">
        <w:rPr>
          <w:rFonts w:ascii="Century Gothic" w:hAnsi="Century Gothic"/>
          <w:sz w:val="21"/>
          <w:szCs w:val="21"/>
        </w:rPr>
        <w:t xml:space="preserve"> toutefois pas</w:t>
      </w:r>
      <w:r w:rsidRPr="007248D1">
        <w:rPr>
          <w:rFonts w:ascii="Century Gothic" w:hAnsi="Century Gothic"/>
          <w:sz w:val="21"/>
          <w:szCs w:val="21"/>
        </w:rPr>
        <w:t xml:space="preserve"> que</w:t>
      </w:r>
      <w:r w:rsidR="00CB4B9D" w:rsidRPr="007248D1">
        <w:rPr>
          <w:rFonts w:ascii="Century Gothic" w:hAnsi="Century Gothic"/>
          <w:sz w:val="21"/>
          <w:szCs w:val="21"/>
        </w:rPr>
        <w:t xml:space="preserve"> le pouvoir adjudicateur</w:t>
      </w:r>
      <w:r w:rsidRPr="007248D1">
        <w:rPr>
          <w:rFonts w:ascii="Century Gothic" w:hAnsi="Century Gothic"/>
          <w:sz w:val="21"/>
          <w:szCs w:val="21"/>
        </w:rPr>
        <w:t xml:space="preserve"> </w:t>
      </w:r>
      <w:r w:rsidR="001A6D71">
        <w:rPr>
          <w:rFonts w:ascii="Century Gothic" w:hAnsi="Century Gothic"/>
          <w:sz w:val="21"/>
          <w:szCs w:val="21"/>
        </w:rPr>
        <w:t>soit</w:t>
      </w:r>
      <w:r w:rsidR="00B06A4F" w:rsidRPr="007248D1">
        <w:rPr>
          <w:rFonts w:ascii="Century Gothic" w:hAnsi="Century Gothic"/>
          <w:sz w:val="21"/>
          <w:szCs w:val="21"/>
        </w:rPr>
        <w:t xml:space="preserve"> </w:t>
      </w:r>
      <w:r w:rsidRPr="007248D1">
        <w:rPr>
          <w:rFonts w:ascii="Century Gothic" w:hAnsi="Century Gothic"/>
          <w:sz w:val="21"/>
          <w:szCs w:val="21"/>
        </w:rPr>
        <w:t>dispensé</w:t>
      </w:r>
      <w:r w:rsidR="00CB4B9D" w:rsidRPr="007248D1">
        <w:rPr>
          <w:rFonts w:ascii="Century Gothic" w:hAnsi="Century Gothic"/>
          <w:sz w:val="21"/>
          <w:szCs w:val="21"/>
        </w:rPr>
        <w:t xml:space="preserve"> de l’obligation</w:t>
      </w:r>
      <w:r w:rsidRPr="007248D1">
        <w:rPr>
          <w:rFonts w:ascii="Century Gothic" w:hAnsi="Century Gothic"/>
          <w:sz w:val="21"/>
          <w:szCs w:val="21"/>
        </w:rPr>
        <w:t xml:space="preserve"> de motiver sa décision</w:t>
      </w:r>
      <w:r w:rsidR="00CB4B9D" w:rsidRPr="007248D1">
        <w:rPr>
          <w:rFonts w:ascii="Century Gothic" w:hAnsi="Century Gothic"/>
          <w:sz w:val="21"/>
          <w:szCs w:val="21"/>
        </w:rPr>
        <w:t xml:space="preserve"> d’attribution, ou qu’un </w:t>
      </w:r>
      <w:r w:rsidRPr="007248D1">
        <w:rPr>
          <w:rFonts w:ascii="Century Gothic" w:hAnsi="Century Gothic"/>
          <w:sz w:val="21"/>
          <w:szCs w:val="21"/>
        </w:rPr>
        <w:t xml:space="preserve">opérateur économique </w:t>
      </w:r>
      <w:r w:rsidR="002B49D8" w:rsidRPr="007248D1">
        <w:rPr>
          <w:rFonts w:ascii="Century Gothic" w:hAnsi="Century Gothic"/>
          <w:sz w:val="21"/>
          <w:szCs w:val="21"/>
        </w:rPr>
        <w:t xml:space="preserve">ne </w:t>
      </w:r>
      <w:r w:rsidRPr="007248D1">
        <w:rPr>
          <w:rFonts w:ascii="Century Gothic" w:hAnsi="Century Gothic"/>
          <w:sz w:val="21"/>
          <w:szCs w:val="21"/>
        </w:rPr>
        <w:t>puisse</w:t>
      </w:r>
      <w:r w:rsidR="00CB4B9D" w:rsidRPr="007248D1">
        <w:rPr>
          <w:rFonts w:ascii="Century Gothic" w:hAnsi="Century Gothic"/>
          <w:sz w:val="21"/>
          <w:szCs w:val="21"/>
        </w:rPr>
        <w:t xml:space="preserve"> contester </w:t>
      </w:r>
      <w:r w:rsidR="00746D2A">
        <w:rPr>
          <w:rFonts w:ascii="Century Gothic" w:hAnsi="Century Gothic"/>
          <w:sz w:val="21"/>
          <w:szCs w:val="21"/>
        </w:rPr>
        <w:t>l</w:t>
      </w:r>
      <w:r w:rsidR="00CB4B9D" w:rsidRPr="007248D1">
        <w:rPr>
          <w:rFonts w:ascii="Century Gothic" w:hAnsi="Century Gothic"/>
          <w:sz w:val="21"/>
          <w:szCs w:val="21"/>
        </w:rPr>
        <w:t>a décision</w:t>
      </w:r>
      <w:r w:rsidR="00746D2A">
        <w:rPr>
          <w:rFonts w:ascii="Century Gothic" w:hAnsi="Century Gothic"/>
          <w:sz w:val="21"/>
          <w:szCs w:val="21"/>
        </w:rPr>
        <w:t xml:space="preserve"> rendue</w:t>
      </w:r>
      <w:r w:rsidR="00CB4B9D" w:rsidRPr="007248D1">
        <w:rPr>
          <w:rFonts w:ascii="Century Gothic" w:hAnsi="Century Gothic"/>
          <w:sz w:val="21"/>
          <w:szCs w:val="21"/>
        </w:rPr>
        <w:t>.</w:t>
      </w:r>
      <w:r w:rsidR="00B06A4F" w:rsidRPr="007248D1">
        <w:rPr>
          <w:rFonts w:ascii="Century Gothic" w:hAnsi="Century Gothic"/>
          <w:sz w:val="21"/>
          <w:szCs w:val="21"/>
        </w:rPr>
        <w:t xml:space="preserve"> </w:t>
      </w:r>
    </w:p>
    <w:p w14:paraId="428CD813" w14:textId="74E9D96F" w:rsidR="001465A8" w:rsidRPr="007248D1" w:rsidRDefault="00B06A4F" w:rsidP="000E7173">
      <w:pPr>
        <w:jc w:val="both"/>
        <w:rPr>
          <w:rFonts w:ascii="Century Gothic" w:hAnsi="Century Gothic"/>
          <w:sz w:val="21"/>
          <w:szCs w:val="21"/>
        </w:rPr>
      </w:pPr>
      <w:r w:rsidRPr="007248D1">
        <w:rPr>
          <w:rFonts w:ascii="Century Gothic" w:hAnsi="Century Gothic"/>
          <w:sz w:val="21"/>
          <w:szCs w:val="21"/>
        </w:rPr>
        <w:t>Le pouvoir adjudicateur devra motiver sa décision en vertu de la loi du 29 juillet 1991 relative à la motivation formelle des actes administratifs unilatéra</w:t>
      </w:r>
      <w:r w:rsidR="00977C1A" w:rsidRPr="007248D1">
        <w:rPr>
          <w:rFonts w:ascii="Century Gothic" w:hAnsi="Century Gothic"/>
          <w:sz w:val="21"/>
          <w:szCs w:val="21"/>
        </w:rPr>
        <w:t xml:space="preserve">ux. </w:t>
      </w:r>
      <w:r w:rsidR="001465A8" w:rsidRPr="007248D1">
        <w:rPr>
          <w:rFonts w:ascii="Century Gothic" w:hAnsi="Century Gothic"/>
          <w:sz w:val="21"/>
          <w:szCs w:val="21"/>
        </w:rPr>
        <w:t>Une décision motivée d’attribution succincte ou à tout le moins un rapport d’attribution est donc souhaité pour les marchés de faible montant.</w:t>
      </w:r>
      <w:r w:rsidR="00010CCC" w:rsidRPr="007248D1">
        <w:rPr>
          <w:rFonts w:ascii="Century Gothic" w:hAnsi="Century Gothic"/>
          <w:sz w:val="21"/>
          <w:szCs w:val="21"/>
        </w:rPr>
        <w:t xml:space="preserve"> </w:t>
      </w:r>
      <w:r w:rsidR="001465A8" w:rsidRPr="007248D1">
        <w:rPr>
          <w:rFonts w:ascii="Century Gothic" w:hAnsi="Century Gothic"/>
          <w:sz w:val="21"/>
          <w:szCs w:val="21"/>
        </w:rPr>
        <w:t xml:space="preserve"> </w:t>
      </w:r>
      <w:r w:rsidR="00010CCC" w:rsidRPr="007248D1">
        <w:rPr>
          <w:rFonts w:ascii="Century Gothic" w:hAnsi="Century Gothic"/>
          <w:sz w:val="21"/>
          <w:szCs w:val="21"/>
        </w:rPr>
        <w:t>Il suffit d’indiquer en quelques lignes les motifs de droit et de fait servant de fondement à la décision prise.</w:t>
      </w:r>
      <w:r w:rsidR="00677C08">
        <w:rPr>
          <w:rFonts w:ascii="Century Gothic" w:hAnsi="Century Gothic"/>
          <w:sz w:val="21"/>
          <w:szCs w:val="21"/>
        </w:rPr>
        <w:t xml:space="preserve"> Un modèle </w:t>
      </w:r>
      <w:r w:rsidR="007248D1" w:rsidRPr="007248D1">
        <w:rPr>
          <w:rFonts w:ascii="Century Gothic" w:hAnsi="Century Gothic"/>
          <w:sz w:val="21"/>
          <w:szCs w:val="21"/>
        </w:rPr>
        <w:t xml:space="preserve">de décision motivée </w:t>
      </w:r>
      <w:r w:rsidR="00677C08">
        <w:rPr>
          <w:rFonts w:ascii="Century Gothic" w:hAnsi="Century Gothic"/>
          <w:sz w:val="21"/>
          <w:szCs w:val="21"/>
        </w:rPr>
        <w:t>est</w:t>
      </w:r>
      <w:r w:rsidR="007248D1" w:rsidRPr="007248D1">
        <w:rPr>
          <w:rFonts w:ascii="Century Gothic" w:hAnsi="Century Gothic"/>
          <w:sz w:val="21"/>
          <w:szCs w:val="21"/>
        </w:rPr>
        <w:t xml:space="preserve"> à votre disposition (</w:t>
      </w:r>
      <w:r w:rsidR="0079075F">
        <w:rPr>
          <w:rFonts w:ascii="Century Gothic" w:hAnsi="Century Gothic"/>
          <w:sz w:val="21"/>
          <w:szCs w:val="21"/>
        </w:rPr>
        <w:t>voir outils liés</w:t>
      </w:r>
      <w:r w:rsidR="00B57780">
        <w:rPr>
          <w:rFonts w:ascii="Century Gothic" w:hAnsi="Century Gothic"/>
          <w:sz w:val="21"/>
          <w:szCs w:val="21"/>
        </w:rPr>
        <w:t xml:space="preserve"> – décision motivée</w:t>
      </w:r>
      <w:r w:rsidR="007248D1" w:rsidRPr="007248D1">
        <w:rPr>
          <w:rFonts w:ascii="Century Gothic" w:hAnsi="Century Gothic"/>
          <w:sz w:val="21"/>
          <w:szCs w:val="21"/>
        </w:rPr>
        <w:t>).</w:t>
      </w:r>
    </w:p>
    <w:p w14:paraId="7AF2BC20" w14:textId="74E766ED" w:rsidR="00D420F1" w:rsidRPr="007248D1" w:rsidRDefault="00FA4AAA" w:rsidP="000E7173">
      <w:pPr>
        <w:jc w:val="both"/>
        <w:rPr>
          <w:rFonts w:ascii="Century Gothic" w:hAnsi="Century Gothic"/>
          <w:sz w:val="21"/>
          <w:szCs w:val="21"/>
        </w:rPr>
      </w:pPr>
      <w:r w:rsidRPr="00D420F1">
        <w:rPr>
          <w:rFonts w:ascii="Century Gothic" w:hAnsi="Century Gothic"/>
          <w:sz w:val="21"/>
          <w:szCs w:val="21"/>
        </w:rPr>
        <w:t>Par ailleurs, les principes de bonne administration et de transparence implique</w:t>
      </w:r>
      <w:r w:rsidR="005657B5" w:rsidRPr="00D420F1">
        <w:rPr>
          <w:rFonts w:ascii="Century Gothic" w:hAnsi="Century Gothic"/>
          <w:sz w:val="21"/>
          <w:szCs w:val="21"/>
        </w:rPr>
        <w:t>nt</w:t>
      </w:r>
      <w:r w:rsidRPr="00D420F1">
        <w:rPr>
          <w:rFonts w:ascii="Century Gothic" w:hAnsi="Century Gothic"/>
          <w:sz w:val="21"/>
          <w:szCs w:val="21"/>
        </w:rPr>
        <w:t xml:space="preserve"> l’obligation pour le pouvoir adjudicateur d’informer les</w:t>
      </w:r>
      <w:r w:rsidR="00D420F1" w:rsidRPr="00D420F1">
        <w:rPr>
          <w:rFonts w:ascii="Century Gothic" w:hAnsi="Century Gothic"/>
          <w:sz w:val="21"/>
          <w:szCs w:val="21"/>
        </w:rPr>
        <w:t xml:space="preserve"> opérateurs économiques qui ont </w:t>
      </w:r>
      <w:r w:rsidR="001535FF">
        <w:rPr>
          <w:rFonts w:ascii="Century Gothic" w:hAnsi="Century Gothic"/>
          <w:sz w:val="21"/>
          <w:szCs w:val="21"/>
        </w:rPr>
        <w:t>remis offr</w:t>
      </w:r>
      <w:r w:rsidRPr="00D420F1">
        <w:rPr>
          <w:rFonts w:ascii="Century Gothic" w:hAnsi="Century Gothic"/>
          <w:sz w:val="21"/>
          <w:szCs w:val="21"/>
        </w:rPr>
        <w:t>e</w:t>
      </w:r>
      <w:r w:rsidR="001535FF">
        <w:rPr>
          <w:rFonts w:ascii="Century Gothic" w:hAnsi="Century Gothic"/>
          <w:sz w:val="21"/>
          <w:szCs w:val="21"/>
        </w:rPr>
        <w:t xml:space="preserve"> de</w:t>
      </w:r>
      <w:r w:rsidRPr="00D420F1">
        <w:rPr>
          <w:rFonts w:ascii="Century Gothic" w:hAnsi="Century Gothic"/>
          <w:sz w:val="21"/>
          <w:szCs w:val="21"/>
        </w:rPr>
        <w:t xml:space="preserve"> la décision qui a été prise.</w:t>
      </w:r>
      <w:r w:rsidR="006F6D40">
        <w:rPr>
          <w:rFonts w:ascii="Century Gothic" w:hAnsi="Century Gothic"/>
          <w:sz w:val="21"/>
          <w:szCs w:val="21"/>
        </w:rPr>
        <w:t xml:space="preserve"> Cette communication </w:t>
      </w:r>
      <w:r w:rsidR="00746D2A">
        <w:rPr>
          <w:rFonts w:ascii="Century Gothic" w:hAnsi="Century Gothic"/>
          <w:sz w:val="21"/>
          <w:szCs w:val="21"/>
        </w:rPr>
        <w:t>précisera</w:t>
      </w:r>
      <w:r w:rsidR="006F6D40">
        <w:rPr>
          <w:rFonts w:ascii="Century Gothic" w:hAnsi="Century Gothic"/>
          <w:sz w:val="21"/>
          <w:szCs w:val="21"/>
        </w:rPr>
        <w:t xml:space="preserve"> </w:t>
      </w:r>
      <w:r w:rsidR="00746D2A">
        <w:rPr>
          <w:rFonts w:ascii="Century Gothic" w:hAnsi="Century Gothic"/>
          <w:sz w:val="21"/>
          <w:szCs w:val="21"/>
        </w:rPr>
        <w:t>l</w:t>
      </w:r>
      <w:r w:rsidR="006F6D40">
        <w:rPr>
          <w:rFonts w:ascii="Century Gothic" w:hAnsi="Century Gothic"/>
          <w:sz w:val="21"/>
          <w:szCs w:val="21"/>
        </w:rPr>
        <w:t xml:space="preserve">es voies de recours </w:t>
      </w:r>
      <w:r w:rsidR="00746D2A">
        <w:rPr>
          <w:rFonts w:ascii="Century Gothic" w:hAnsi="Century Gothic"/>
          <w:sz w:val="21"/>
          <w:szCs w:val="21"/>
        </w:rPr>
        <w:t xml:space="preserve">qui leur sont </w:t>
      </w:r>
      <w:r w:rsidR="006F6D40">
        <w:rPr>
          <w:rFonts w:ascii="Century Gothic" w:hAnsi="Century Gothic"/>
          <w:sz w:val="21"/>
          <w:szCs w:val="21"/>
        </w:rPr>
        <w:t>ouvertes</w:t>
      </w:r>
      <w:r w:rsidR="000049A8">
        <w:rPr>
          <w:rFonts w:ascii="Century Gothic" w:hAnsi="Century Gothic"/>
          <w:sz w:val="21"/>
          <w:szCs w:val="21"/>
        </w:rPr>
        <w:t xml:space="preserve"> </w:t>
      </w:r>
      <w:r w:rsidR="00D420F1" w:rsidRPr="007248D1">
        <w:rPr>
          <w:rFonts w:ascii="Century Gothic" w:hAnsi="Century Gothic"/>
          <w:sz w:val="21"/>
          <w:szCs w:val="21"/>
        </w:rPr>
        <w:t>(</w:t>
      </w:r>
      <w:r w:rsidR="0079075F">
        <w:rPr>
          <w:rFonts w:ascii="Century Gothic" w:hAnsi="Century Gothic"/>
          <w:sz w:val="21"/>
          <w:szCs w:val="21"/>
        </w:rPr>
        <w:t>voir outils liés</w:t>
      </w:r>
      <w:r w:rsidR="00310F18">
        <w:rPr>
          <w:rFonts w:ascii="Century Gothic" w:hAnsi="Century Gothic"/>
          <w:sz w:val="21"/>
          <w:szCs w:val="21"/>
        </w:rPr>
        <w:t xml:space="preserve"> –</w:t>
      </w:r>
      <w:r w:rsidR="00677C08" w:rsidRPr="00677C08">
        <w:rPr>
          <w:rFonts w:ascii="Century Gothic" w:hAnsi="Century Gothic"/>
          <w:sz w:val="21"/>
          <w:szCs w:val="21"/>
        </w:rPr>
        <w:t xml:space="preserve"> lettre d’information aux soumissionnaires non retenus </w:t>
      </w:r>
      <w:r w:rsidR="00677C08">
        <w:rPr>
          <w:rFonts w:ascii="Century Gothic" w:hAnsi="Century Gothic"/>
          <w:sz w:val="21"/>
          <w:szCs w:val="21"/>
        </w:rPr>
        <w:t xml:space="preserve">et </w:t>
      </w:r>
      <w:r w:rsidR="00310F18">
        <w:rPr>
          <w:rFonts w:ascii="Century Gothic" w:hAnsi="Century Gothic"/>
          <w:sz w:val="21"/>
          <w:szCs w:val="21"/>
        </w:rPr>
        <w:t>voies de recours simplifiées</w:t>
      </w:r>
      <w:r w:rsidR="00D420F1" w:rsidRPr="007248D1">
        <w:rPr>
          <w:rFonts w:ascii="Century Gothic" w:hAnsi="Century Gothic"/>
          <w:sz w:val="21"/>
          <w:szCs w:val="21"/>
        </w:rPr>
        <w:t>)</w:t>
      </w:r>
      <w:r w:rsidR="00D420F1">
        <w:rPr>
          <w:rFonts w:ascii="Century Gothic" w:hAnsi="Century Gothic"/>
          <w:sz w:val="21"/>
          <w:szCs w:val="21"/>
        </w:rPr>
        <w:t>.</w:t>
      </w:r>
    </w:p>
    <w:p w14:paraId="6A9C2FAC" w14:textId="7A567BF4" w:rsidR="00035E06" w:rsidRPr="007248D1" w:rsidRDefault="00E510D9" w:rsidP="00CA52A6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  <w:u w:val="single"/>
        </w:rPr>
        <w:t>Outils liés</w:t>
      </w:r>
      <w:r w:rsidR="00035E06" w:rsidRPr="007248D1">
        <w:rPr>
          <w:rFonts w:ascii="Century Gothic" w:hAnsi="Century Gothic"/>
          <w:sz w:val="21"/>
          <w:szCs w:val="21"/>
        </w:rPr>
        <w:t> :</w:t>
      </w:r>
    </w:p>
    <w:p w14:paraId="04DDD99E" w14:textId="01A4C7F0" w:rsidR="007248D1" w:rsidRPr="002A46A3" w:rsidRDefault="00E510D9" w:rsidP="007248D1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sz w:val="21"/>
          <w:szCs w:val="21"/>
        </w:rPr>
      </w:pPr>
      <w:r w:rsidRPr="002A46A3">
        <w:rPr>
          <w:rFonts w:ascii="Century Gothic" w:hAnsi="Century Gothic"/>
          <w:sz w:val="21"/>
          <w:szCs w:val="21"/>
        </w:rPr>
        <w:t>L</w:t>
      </w:r>
      <w:r w:rsidR="007248D1" w:rsidRPr="002A46A3">
        <w:rPr>
          <w:rFonts w:ascii="Century Gothic" w:hAnsi="Century Gothic"/>
          <w:sz w:val="21"/>
          <w:szCs w:val="21"/>
        </w:rPr>
        <w:t xml:space="preserve">ettre d’invitation à remettre offre </w:t>
      </w:r>
    </w:p>
    <w:p w14:paraId="0BB5508D" w14:textId="77777777" w:rsidR="00E510D9" w:rsidRPr="002A46A3" w:rsidRDefault="00E510D9" w:rsidP="007248D1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sz w:val="21"/>
          <w:szCs w:val="21"/>
        </w:rPr>
      </w:pPr>
      <w:r w:rsidRPr="002A46A3">
        <w:rPr>
          <w:rFonts w:ascii="Century Gothic" w:hAnsi="Century Gothic"/>
          <w:sz w:val="21"/>
          <w:szCs w:val="21"/>
        </w:rPr>
        <w:t>D</w:t>
      </w:r>
      <w:r w:rsidR="007248D1" w:rsidRPr="002A46A3">
        <w:rPr>
          <w:rFonts w:ascii="Century Gothic" w:hAnsi="Century Gothic"/>
          <w:sz w:val="21"/>
          <w:szCs w:val="21"/>
        </w:rPr>
        <w:t>escriptif de marché</w:t>
      </w:r>
    </w:p>
    <w:p w14:paraId="4DF226BD" w14:textId="0C6A35E9" w:rsidR="007248D1" w:rsidRPr="002A46A3" w:rsidRDefault="0035571E" w:rsidP="007248D1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sz w:val="21"/>
          <w:szCs w:val="21"/>
        </w:rPr>
      </w:pPr>
      <w:r w:rsidRPr="002A46A3">
        <w:rPr>
          <w:rFonts w:ascii="Century Gothic" w:hAnsi="Century Gothic"/>
          <w:sz w:val="21"/>
          <w:szCs w:val="21"/>
        </w:rPr>
        <w:t>Modèle de mail de demande d’offre applicable pour les marchés de très faible montant</w:t>
      </w:r>
      <w:r w:rsidR="00A43948" w:rsidRPr="002A46A3">
        <w:rPr>
          <w:rFonts w:ascii="Century Gothic" w:hAnsi="Century Gothic"/>
          <w:sz w:val="21"/>
          <w:szCs w:val="21"/>
        </w:rPr>
        <w:t xml:space="preserve"> ou de complexité moindre</w:t>
      </w:r>
    </w:p>
    <w:p w14:paraId="5DC4FE2B" w14:textId="168284E9" w:rsidR="007248D1" w:rsidRPr="002A46A3" w:rsidRDefault="00E510D9" w:rsidP="007248D1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sz w:val="21"/>
          <w:szCs w:val="21"/>
        </w:rPr>
      </w:pPr>
      <w:r w:rsidRPr="002A46A3">
        <w:rPr>
          <w:rFonts w:ascii="Century Gothic" w:hAnsi="Century Gothic"/>
          <w:sz w:val="21"/>
          <w:szCs w:val="21"/>
        </w:rPr>
        <w:t>L</w:t>
      </w:r>
      <w:r w:rsidR="007248D1" w:rsidRPr="002A46A3">
        <w:rPr>
          <w:rFonts w:ascii="Century Gothic" w:hAnsi="Century Gothic"/>
          <w:sz w:val="21"/>
          <w:szCs w:val="21"/>
        </w:rPr>
        <w:t xml:space="preserve">ettre de notification </w:t>
      </w:r>
      <w:bookmarkStart w:id="23" w:name="_GoBack"/>
      <w:bookmarkEnd w:id="23"/>
    </w:p>
    <w:p w14:paraId="6957ABD5" w14:textId="57C22A24" w:rsidR="007248D1" w:rsidRPr="002A46A3" w:rsidRDefault="00E510D9" w:rsidP="007248D1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sz w:val="21"/>
          <w:szCs w:val="21"/>
        </w:rPr>
      </w:pPr>
      <w:r w:rsidRPr="002A46A3">
        <w:rPr>
          <w:rFonts w:ascii="Century Gothic" w:hAnsi="Century Gothic"/>
          <w:sz w:val="21"/>
          <w:szCs w:val="21"/>
        </w:rPr>
        <w:t>F</w:t>
      </w:r>
      <w:r w:rsidR="007248D1" w:rsidRPr="002A46A3">
        <w:rPr>
          <w:rFonts w:ascii="Century Gothic" w:hAnsi="Century Gothic"/>
          <w:sz w:val="21"/>
          <w:szCs w:val="21"/>
        </w:rPr>
        <w:t>iche conclusion d’un marché public</w:t>
      </w:r>
    </w:p>
    <w:p w14:paraId="63680004" w14:textId="0C45616C" w:rsidR="007248D1" w:rsidRPr="007248D1" w:rsidRDefault="00E510D9" w:rsidP="007248D1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lastRenderedPageBreak/>
        <w:t>D</w:t>
      </w:r>
      <w:r w:rsidR="007248D1" w:rsidRPr="007248D1">
        <w:rPr>
          <w:rFonts w:ascii="Century Gothic" w:hAnsi="Century Gothic"/>
          <w:sz w:val="21"/>
          <w:szCs w:val="21"/>
        </w:rPr>
        <w:t xml:space="preserve">écision motivée </w:t>
      </w:r>
    </w:p>
    <w:p w14:paraId="27D57A0A" w14:textId="07F7E11D" w:rsidR="007248D1" w:rsidRPr="007248D1" w:rsidRDefault="00E510D9" w:rsidP="007248D1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L</w:t>
      </w:r>
      <w:r w:rsidR="007248D1" w:rsidRPr="007248D1">
        <w:rPr>
          <w:rFonts w:ascii="Century Gothic" w:hAnsi="Century Gothic"/>
          <w:sz w:val="21"/>
          <w:szCs w:val="21"/>
        </w:rPr>
        <w:t xml:space="preserve">ettre d’information aux soumissionnaires non retenus </w:t>
      </w:r>
    </w:p>
    <w:p w14:paraId="43B78A47" w14:textId="3BD7DFF6" w:rsidR="007248D1" w:rsidRPr="006F6D40" w:rsidRDefault="00E510D9" w:rsidP="006F6D40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V</w:t>
      </w:r>
      <w:r w:rsidR="007248D1" w:rsidRPr="007248D1">
        <w:rPr>
          <w:rFonts w:ascii="Century Gothic" w:hAnsi="Century Gothic"/>
          <w:sz w:val="21"/>
          <w:szCs w:val="21"/>
        </w:rPr>
        <w:t xml:space="preserve">oies de recours </w:t>
      </w:r>
      <w:r w:rsidR="006F6D40">
        <w:rPr>
          <w:rFonts w:ascii="Century Gothic" w:hAnsi="Century Gothic"/>
          <w:sz w:val="21"/>
          <w:szCs w:val="21"/>
        </w:rPr>
        <w:t xml:space="preserve">simplifiées </w:t>
      </w:r>
    </w:p>
    <w:p w14:paraId="0FA7F2CA" w14:textId="4580936E" w:rsidR="007248D1" w:rsidRPr="007248D1" w:rsidRDefault="007248D1" w:rsidP="006F6D40">
      <w:pPr>
        <w:pStyle w:val="Paragraphedeliste"/>
        <w:jc w:val="both"/>
        <w:rPr>
          <w:rFonts w:ascii="Century Gothic" w:hAnsi="Century Gothic"/>
          <w:sz w:val="21"/>
          <w:szCs w:val="21"/>
        </w:rPr>
      </w:pPr>
    </w:p>
    <w:p w14:paraId="3919DAEB" w14:textId="77777777" w:rsidR="007248D1" w:rsidRPr="006F6D40" w:rsidRDefault="007248D1" w:rsidP="007248D1">
      <w:pPr>
        <w:jc w:val="both"/>
        <w:rPr>
          <w:rFonts w:ascii="Century Gothic" w:hAnsi="Century Gothic"/>
          <w:i/>
          <w:sz w:val="21"/>
          <w:szCs w:val="21"/>
        </w:rPr>
      </w:pPr>
    </w:p>
    <w:p w14:paraId="2FF0314E" w14:textId="0BF9BD2F" w:rsidR="007248D1" w:rsidRPr="006F6D40" w:rsidRDefault="00746D2A" w:rsidP="007248D1">
      <w:pPr>
        <w:jc w:val="both"/>
        <w:rPr>
          <w:rFonts w:ascii="Century Gothic" w:hAnsi="Century Gothic"/>
          <w:i/>
          <w:sz w:val="21"/>
          <w:szCs w:val="21"/>
        </w:rPr>
      </w:pPr>
      <w:r w:rsidRPr="001535FF">
        <w:rPr>
          <w:rFonts w:ascii="Century Gothic" w:hAnsi="Century Gothic"/>
          <w:b/>
          <w:bCs/>
          <w:i/>
          <w:sz w:val="21"/>
          <w:szCs w:val="21"/>
          <w:u w:val="single"/>
        </w:rPr>
        <w:t>Les</w:t>
      </w:r>
      <w:r w:rsidR="007248D1" w:rsidRPr="001535FF">
        <w:rPr>
          <w:rFonts w:ascii="Century Gothic" w:hAnsi="Century Gothic"/>
          <w:b/>
          <w:bCs/>
          <w:i/>
          <w:sz w:val="21"/>
          <w:szCs w:val="21"/>
          <w:u w:val="single"/>
        </w:rPr>
        <w:t xml:space="preserve"> </w:t>
      </w:r>
      <w:r w:rsidR="00E510D9" w:rsidRPr="001535FF">
        <w:rPr>
          <w:rFonts w:ascii="Century Gothic" w:hAnsi="Century Gothic"/>
          <w:b/>
          <w:bCs/>
          <w:i/>
          <w:sz w:val="21"/>
          <w:szCs w:val="21"/>
          <w:u w:val="single"/>
        </w:rPr>
        <w:t>outils</w:t>
      </w:r>
      <w:r w:rsidR="007248D1" w:rsidRPr="001535FF">
        <w:rPr>
          <w:rFonts w:ascii="Century Gothic" w:hAnsi="Century Gothic"/>
          <w:b/>
          <w:bCs/>
          <w:i/>
          <w:sz w:val="21"/>
          <w:szCs w:val="21"/>
          <w:u w:val="single"/>
        </w:rPr>
        <w:t xml:space="preserve"> sont disponibles dans la rubrique « OUTILS » du Portail des marchés publics.</w:t>
      </w:r>
      <w:r w:rsidR="007248D1" w:rsidRPr="006F6D40">
        <w:rPr>
          <w:rFonts w:ascii="Century Gothic" w:hAnsi="Century Gothic"/>
          <w:i/>
          <w:sz w:val="21"/>
          <w:szCs w:val="21"/>
        </w:rPr>
        <w:t xml:space="preserve"> </w:t>
      </w:r>
    </w:p>
    <w:sectPr w:rsidR="007248D1" w:rsidRPr="006F6D40" w:rsidSect="005B1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493D2" w14:textId="77777777" w:rsidR="00282031" w:rsidRDefault="00282031" w:rsidP="00EC4F23">
      <w:pPr>
        <w:spacing w:after="0" w:line="240" w:lineRule="auto"/>
      </w:pPr>
      <w:r>
        <w:separator/>
      </w:r>
    </w:p>
  </w:endnote>
  <w:endnote w:type="continuationSeparator" w:id="0">
    <w:p w14:paraId="5BFC70D8" w14:textId="77777777" w:rsidR="00282031" w:rsidRDefault="00282031" w:rsidP="00EC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0171" w14:textId="77777777" w:rsidR="00A77608" w:rsidRDefault="00A776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3597692"/>
      <w:docPartObj>
        <w:docPartGallery w:val="Page Numbers (Bottom of Page)"/>
        <w:docPartUnique/>
      </w:docPartObj>
    </w:sdtPr>
    <w:sdtEndPr/>
    <w:sdtContent>
      <w:p w14:paraId="61A9D255" w14:textId="7E9307EE" w:rsidR="007420C7" w:rsidRDefault="007420C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E3C35A9" w14:textId="77777777" w:rsidR="007C566B" w:rsidRDefault="007C566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F935B" w14:textId="77777777" w:rsidR="00A77608" w:rsidRDefault="00A776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9E5BB" w14:textId="77777777" w:rsidR="00282031" w:rsidRDefault="00282031" w:rsidP="00EC4F23">
      <w:pPr>
        <w:spacing w:after="0" w:line="240" w:lineRule="auto"/>
      </w:pPr>
      <w:r>
        <w:separator/>
      </w:r>
    </w:p>
  </w:footnote>
  <w:footnote w:type="continuationSeparator" w:id="0">
    <w:p w14:paraId="76B2C0AA" w14:textId="77777777" w:rsidR="00282031" w:rsidRDefault="00282031" w:rsidP="00EC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94AB5" w14:textId="77777777" w:rsidR="00A77608" w:rsidRDefault="00A776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color w:val="7F7F7F" w:themeColor="text1" w:themeTint="80"/>
        <w:sz w:val="21"/>
        <w:szCs w:val="21"/>
      </w:rPr>
      <w:alias w:val="Titre"/>
      <w:tag w:val=""/>
      <w:id w:val="1116400235"/>
      <w:placeholder>
        <w:docPart w:val="DD4304CEA01E43D2B7D5726A2E6E742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FF0D90B" w14:textId="75301793" w:rsidR="00D6351B" w:rsidRPr="00D6351B" w:rsidRDefault="00A77608">
        <w:pPr>
          <w:pStyle w:val="En-tte"/>
          <w:jc w:val="right"/>
          <w:rPr>
            <w:rFonts w:ascii="Century Gothic" w:hAnsi="Century Gothic"/>
            <w:color w:val="7F7F7F" w:themeColor="text1" w:themeTint="80"/>
            <w:sz w:val="21"/>
            <w:szCs w:val="21"/>
          </w:rPr>
        </w:pPr>
        <w:r>
          <w:rPr>
            <w:rFonts w:ascii="Century Gothic" w:hAnsi="Century Gothic"/>
            <w:color w:val="7F7F7F" w:themeColor="text1" w:themeTint="80"/>
            <w:sz w:val="21"/>
            <w:szCs w:val="21"/>
          </w:rPr>
          <w:t>Marchés de faible montant – 10 décembre 2020</w:t>
        </w:r>
      </w:p>
    </w:sdtContent>
  </w:sdt>
  <w:p w14:paraId="25C3263B" w14:textId="77777777" w:rsidR="00D6351B" w:rsidRDefault="00D6351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FDB56" w14:textId="77777777" w:rsidR="00A77608" w:rsidRDefault="00A776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5B8"/>
    <w:multiLevelType w:val="hybridMultilevel"/>
    <w:tmpl w:val="D85264C8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3C122BA"/>
    <w:multiLevelType w:val="multilevel"/>
    <w:tmpl w:val="D49C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7B2591A"/>
    <w:multiLevelType w:val="hybridMultilevel"/>
    <w:tmpl w:val="8062CB82"/>
    <w:lvl w:ilvl="0" w:tplc="080C0015">
      <w:start w:val="1"/>
      <w:numFmt w:val="upperLetter"/>
      <w:lvlText w:val="%1."/>
      <w:lvlJc w:val="left"/>
      <w:pPr>
        <w:ind w:left="810" w:hanging="360"/>
      </w:pPr>
    </w:lvl>
    <w:lvl w:ilvl="1" w:tplc="080C0019" w:tentative="1">
      <w:start w:val="1"/>
      <w:numFmt w:val="lowerLetter"/>
      <w:lvlText w:val="%2."/>
      <w:lvlJc w:val="left"/>
      <w:pPr>
        <w:ind w:left="1530" w:hanging="360"/>
      </w:pPr>
    </w:lvl>
    <w:lvl w:ilvl="2" w:tplc="080C001B" w:tentative="1">
      <w:start w:val="1"/>
      <w:numFmt w:val="lowerRoman"/>
      <w:lvlText w:val="%3."/>
      <w:lvlJc w:val="right"/>
      <w:pPr>
        <w:ind w:left="2250" w:hanging="180"/>
      </w:pPr>
    </w:lvl>
    <w:lvl w:ilvl="3" w:tplc="080C000F" w:tentative="1">
      <w:start w:val="1"/>
      <w:numFmt w:val="decimal"/>
      <w:lvlText w:val="%4."/>
      <w:lvlJc w:val="left"/>
      <w:pPr>
        <w:ind w:left="2970" w:hanging="360"/>
      </w:pPr>
    </w:lvl>
    <w:lvl w:ilvl="4" w:tplc="080C0019" w:tentative="1">
      <w:start w:val="1"/>
      <w:numFmt w:val="lowerLetter"/>
      <w:lvlText w:val="%5."/>
      <w:lvlJc w:val="left"/>
      <w:pPr>
        <w:ind w:left="3690" w:hanging="360"/>
      </w:pPr>
    </w:lvl>
    <w:lvl w:ilvl="5" w:tplc="080C001B" w:tentative="1">
      <w:start w:val="1"/>
      <w:numFmt w:val="lowerRoman"/>
      <w:lvlText w:val="%6."/>
      <w:lvlJc w:val="right"/>
      <w:pPr>
        <w:ind w:left="4410" w:hanging="180"/>
      </w:pPr>
    </w:lvl>
    <w:lvl w:ilvl="6" w:tplc="080C000F" w:tentative="1">
      <w:start w:val="1"/>
      <w:numFmt w:val="decimal"/>
      <w:lvlText w:val="%7."/>
      <w:lvlJc w:val="left"/>
      <w:pPr>
        <w:ind w:left="5130" w:hanging="360"/>
      </w:pPr>
    </w:lvl>
    <w:lvl w:ilvl="7" w:tplc="080C0019" w:tentative="1">
      <w:start w:val="1"/>
      <w:numFmt w:val="lowerLetter"/>
      <w:lvlText w:val="%8."/>
      <w:lvlJc w:val="left"/>
      <w:pPr>
        <w:ind w:left="5850" w:hanging="360"/>
      </w:pPr>
    </w:lvl>
    <w:lvl w:ilvl="8" w:tplc="08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9FB06D7"/>
    <w:multiLevelType w:val="hybridMultilevel"/>
    <w:tmpl w:val="099E436E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6E4122"/>
    <w:multiLevelType w:val="hybridMultilevel"/>
    <w:tmpl w:val="7C1EF132"/>
    <w:lvl w:ilvl="0" w:tplc="06565B0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3A7478"/>
    <w:multiLevelType w:val="hybridMultilevel"/>
    <w:tmpl w:val="C4EE9B92"/>
    <w:lvl w:ilvl="0" w:tplc="320EB9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20E64"/>
    <w:multiLevelType w:val="hybridMultilevel"/>
    <w:tmpl w:val="1E64620E"/>
    <w:lvl w:ilvl="0" w:tplc="C48CE5F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F5BCF"/>
    <w:multiLevelType w:val="hybridMultilevel"/>
    <w:tmpl w:val="9D74D5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94F0A"/>
    <w:multiLevelType w:val="multilevel"/>
    <w:tmpl w:val="0F1C1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F6147D9"/>
    <w:multiLevelType w:val="hybridMultilevel"/>
    <w:tmpl w:val="89087E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653DE"/>
    <w:multiLevelType w:val="hybridMultilevel"/>
    <w:tmpl w:val="00C0434C"/>
    <w:lvl w:ilvl="0" w:tplc="080C0015">
      <w:start w:val="1"/>
      <w:numFmt w:val="upperLetter"/>
      <w:lvlText w:val="%1."/>
      <w:lvlJc w:val="left"/>
      <w:pPr>
        <w:ind w:left="810" w:hanging="360"/>
      </w:pPr>
    </w:lvl>
    <w:lvl w:ilvl="1" w:tplc="080C0019" w:tentative="1">
      <w:start w:val="1"/>
      <w:numFmt w:val="lowerLetter"/>
      <w:lvlText w:val="%2."/>
      <w:lvlJc w:val="left"/>
      <w:pPr>
        <w:ind w:left="1530" w:hanging="360"/>
      </w:pPr>
    </w:lvl>
    <w:lvl w:ilvl="2" w:tplc="080C001B" w:tentative="1">
      <w:start w:val="1"/>
      <w:numFmt w:val="lowerRoman"/>
      <w:lvlText w:val="%3."/>
      <w:lvlJc w:val="right"/>
      <w:pPr>
        <w:ind w:left="2250" w:hanging="180"/>
      </w:pPr>
    </w:lvl>
    <w:lvl w:ilvl="3" w:tplc="080C000F" w:tentative="1">
      <w:start w:val="1"/>
      <w:numFmt w:val="decimal"/>
      <w:lvlText w:val="%4."/>
      <w:lvlJc w:val="left"/>
      <w:pPr>
        <w:ind w:left="2970" w:hanging="360"/>
      </w:pPr>
    </w:lvl>
    <w:lvl w:ilvl="4" w:tplc="080C0019" w:tentative="1">
      <w:start w:val="1"/>
      <w:numFmt w:val="lowerLetter"/>
      <w:lvlText w:val="%5."/>
      <w:lvlJc w:val="left"/>
      <w:pPr>
        <w:ind w:left="3690" w:hanging="360"/>
      </w:pPr>
    </w:lvl>
    <w:lvl w:ilvl="5" w:tplc="080C001B" w:tentative="1">
      <w:start w:val="1"/>
      <w:numFmt w:val="lowerRoman"/>
      <w:lvlText w:val="%6."/>
      <w:lvlJc w:val="right"/>
      <w:pPr>
        <w:ind w:left="4410" w:hanging="180"/>
      </w:pPr>
    </w:lvl>
    <w:lvl w:ilvl="6" w:tplc="080C000F" w:tentative="1">
      <w:start w:val="1"/>
      <w:numFmt w:val="decimal"/>
      <w:lvlText w:val="%7."/>
      <w:lvlJc w:val="left"/>
      <w:pPr>
        <w:ind w:left="5130" w:hanging="360"/>
      </w:pPr>
    </w:lvl>
    <w:lvl w:ilvl="7" w:tplc="080C0019" w:tentative="1">
      <w:start w:val="1"/>
      <w:numFmt w:val="lowerLetter"/>
      <w:lvlText w:val="%8."/>
      <w:lvlJc w:val="left"/>
      <w:pPr>
        <w:ind w:left="5850" w:hanging="360"/>
      </w:pPr>
    </w:lvl>
    <w:lvl w:ilvl="8" w:tplc="08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51B0335"/>
    <w:multiLevelType w:val="hybridMultilevel"/>
    <w:tmpl w:val="AD62228E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B514B4D"/>
    <w:multiLevelType w:val="hybridMultilevel"/>
    <w:tmpl w:val="10EA509A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865038"/>
    <w:multiLevelType w:val="hybridMultilevel"/>
    <w:tmpl w:val="B25E7730"/>
    <w:lvl w:ilvl="0" w:tplc="A4A271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60E42"/>
    <w:multiLevelType w:val="hybridMultilevel"/>
    <w:tmpl w:val="4DC880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A0CE6"/>
    <w:multiLevelType w:val="hybridMultilevel"/>
    <w:tmpl w:val="98BE2B6C"/>
    <w:lvl w:ilvl="0" w:tplc="19A650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80A38"/>
    <w:multiLevelType w:val="multilevel"/>
    <w:tmpl w:val="0F1C1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20A665C"/>
    <w:multiLevelType w:val="hybridMultilevel"/>
    <w:tmpl w:val="07BCF0B4"/>
    <w:lvl w:ilvl="0" w:tplc="50E6056A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11"/>
  </w:num>
  <w:num w:numId="6">
    <w:abstractNumId w:val="14"/>
  </w:num>
  <w:num w:numId="7">
    <w:abstractNumId w:val="15"/>
  </w:num>
  <w:num w:numId="8">
    <w:abstractNumId w:val="17"/>
  </w:num>
  <w:num w:numId="9">
    <w:abstractNumId w:val="4"/>
  </w:num>
  <w:num w:numId="10">
    <w:abstractNumId w:val="13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8"/>
  </w:num>
  <w:num w:numId="16">
    <w:abstractNumId w:val="9"/>
  </w:num>
  <w:num w:numId="17">
    <w:abstractNumId w:val="12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23"/>
    <w:rsid w:val="000049A8"/>
    <w:rsid w:val="00004E8E"/>
    <w:rsid w:val="00007461"/>
    <w:rsid w:val="00007EB1"/>
    <w:rsid w:val="00010CCC"/>
    <w:rsid w:val="00010FB6"/>
    <w:rsid w:val="00015103"/>
    <w:rsid w:val="00015773"/>
    <w:rsid w:val="00017E67"/>
    <w:rsid w:val="00021868"/>
    <w:rsid w:val="000315EE"/>
    <w:rsid w:val="00033282"/>
    <w:rsid w:val="00033986"/>
    <w:rsid w:val="0003557F"/>
    <w:rsid w:val="00035AB3"/>
    <w:rsid w:val="00035E06"/>
    <w:rsid w:val="000372B1"/>
    <w:rsid w:val="00040425"/>
    <w:rsid w:val="00044668"/>
    <w:rsid w:val="00050733"/>
    <w:rsid w:val="000512B7"/>
    <w:rsid w:val="00051C31"/>
    <w:rsid w:val="00052A4D"/>
    <w:rsid w:val="00054886"/>
    <w:rsid w:val="000629AD"/>
    <w:rsid w:val="000655F4"/>
    <w:rsid w:val="00067130"/>
    <w:rsid w:val="0007131C"/>
    <w:rsid w:val="00072EEC"/>
    <w:rsid w:val="00076E40"/>
    <w:rsid w:val="0007701F"/>
    <w:rsid w:val="000810E8"/>
    <w:rsid w:val="0008418D"/>
    <w:rsid w:val="00084C6E"/>
    <w:rsid w:val="00084DA1"/>
    <w:rsid w:val="0008547D"/>
    <w:rsid w:val="000866F9"/>
    <w:rsid w:val="00090DF6"/>
    <w:rsid w:val="00091375"/>
    <w:rsid w:val="00095F04"/>
    <w:rsid w:val="00096F78"/>
    <w:rsid w:val="00097F8B"/>
    <w:rsid w:val="000A0C02"/>
    <w:rsid w:val="000A1B08"/>
    <w:rsid w:val="000A2B13"/>
    <w:rsid w:val="000A65D7"/>
    <w:rsid w:val="000A6FD8"/>
    <w:rsid w:val="000A7121"/>
    <w:rsid w:val="000B19AC"/>
    <w:rsid w:val="000B30FC"/>
    <w:rsid w:val="000B39CC"/>
    <w:rsid w:val="000C047D"/>
    <w:rsid w:val="000C14CA"/>
    <w:rsid w:val="000C5502"/>
    <w:rsid w:val="000C618D"/>
    <w:rsid w:val="000C7D9D"/>
    <w:rsid w:val="000D0967"/>
    <w:rsid w:val="000D15C5"/>
    <w:rsid w:val="000D37CC"/>
    <w:rsid w:val="000D3F2E"/>
    <w:rsid w:val="000D415C"/>
    <w:rsid w:val="000E14CF"/>
    <w:rsid w:val="000E490A"/>
    <w:rsid w:val="000E4A16"/>
    <w:rsid w:val="000E4B2E"/>
    <w:rsid w:val="000E7173"/>
    <w:rsid w:val="000F0E38"/>
    <w:rsid w:val="000F4AA3"/>
    <w:rsid w:val="000F5330"/>
    <w:rsid w:val="001006FB"/>
    <w:rsid w:val="0010429D"/>
    <w:rsid w:val="00105AE1"/>
    <w:rsid w:val="0011157E"/>
    <w:rsid w:val="00113517"/>
    <w:rsid w:val="001154F7"/>
    <w:rsid w:val="0011704B"/>
    <w:rsid w:val="0012529F"/>
    <w:rsid w:val="00126D4F"/>
    <w:rsid w:val="00127285"/>
    <w:rsid w:val="00135B5B"/>
    <w:rsid w:val="001364FF"/>
    <w:rsid w:val="0014167E"/>
    <w:rsid w:val="0014225B"/>
    <w:rsid w:val="00143529"/>
    <w:rsid w:val="0014481B"/>
    <w:rsid w:val="001449CE"/>
    <w:rsid w:val="0014526C"/>
    <w:rsid w:val="001465A8"/>
    <w:rsid w:val="0015018A"/>
    <w:rsid w:val="00151572"/>
    <w:rsid w:val="00151E9A"/>
    <w:rsid w:val="0015221C"/>
    <w:rsid w:val="00153293"/>
    <w:rsid w:val="001535FF"/>
    <w:rsid w:val="00154FFD"/>
    <w:rsid w:val="00155CD7"/>
    <w:rsid w:val="00156413"/>
    <w:rsid w:val="00157C21"/>
    <w:rsid w:val="00157F14"/>
    <w:rsid w:val="001605BE"/>
    <w:rsid w:val="00160E16"/>
    <w:rsid w:val="00166DF4"/>
    <w:rsid w:val="00167492"/>
    <w:rsid w:val="00167743"/>
    <w:rsid w:val="001801F2"/>
    <w:rsid w:val="0018132D"/>
    <w:rsid w:val="00186CAA"/>
    <w:rsid w:val="0018783E"/>
    <w:rsid w:val="0019340A"/>
    <w:rsid w:val="001A1203"/>
    <w:rsid w:val="001A2083"/>
    <w:rsid w:val="001A29C4"/>
    <w:rsid w:val="001A55F6"/>
    <w:rsid w:val="001A5E9A"/>
    <w:rsid w:val="001A6D71"/>
    <w:rsid w:val="001B08FD"/>
    <w:rsid w:val="001B1546"/>
    <w:rsid w:val="001B55C0"/>
    <w:rsid w:val="001B7A77"/>
    <w:rsid w:val="001C0949"/>
    <w:rsid w:val="001C1CC9"/>
    <w:rsid w:val="001C44AA"/>
    <w:rsid w:val="001C5727"/>
    <w:rsid w:val="001C6450"/>
    <w:rsid w:val="001D0CFB"/>
    <w:rsid w:val="001D2C39"/>
    <w:rsid w:val="001D4BC8"/>
    <w:rsid w:val="001D6438"/>
    <w:rsid w:val="001E361B"/>
    <w:rsid w:val="001E3B1D"/>
    <w:rsid w:val="001E7A4D"/>
    <w:rsid w:val="001F1C17"/>
    <w:rsid w:val="001F4EF5"/>
    <w:rsid w:val="001F752F"/>
    <w:rsid w:val="00202924"/>
    <w:rsid w:val="00203F52"/>
    <w:rsid w:val="0021157C"/>
    <w:rsid w:val="00217C40"/>
    <w:rsid w:val="00223180"/>
    <w:rsid w:val="0022492D"/>
    <w:rsid w:val="0023024A"/>
    <w:rsid w:val="00233696"/>
    <w:rsid w:val="002357E3"/>
    <w:rsid w:val="002378A6"/>
    <w:rsid w:val="0024239B"/>
    <w:rsid w:val="00242826"/>
    <w:rsid w:val="00245E4B"/>
    <w:rsid w:val="00245EAF"/>
    <w:rsid w:val="00245F2D"/>
    <w:rsid w:val="00255A4C"/>
    <w:rsid w:val="00262B5E"/>
    <w:rsid w:val="00262D76"/>
    <w:rsid w:val="002632E3"/>
    <w:rsid w:val="00265C84"/>
    <w:rsid w:val="0026798E"/>
    <w:rsid w:val="00271107"/>
    <w:rsid w:val="00272CE4"/>
    <w:rsid w:val="00273D8D"/>
    <w:rsid w:val="00276690"/>
    <w:rsid w:val="00276BFF"/>
    <w:rsid w:val="00282031"/>
    <w:rsid w:val="002841AC"/>
    <w:rsid w:val="00284A0A"/>
    <w:rsid w:val="002875B5"/>
    <w:rsid w:val="002A356E"/>
    <w:rsid w:val="002A3817"/>
    <w:rsid w:val="002A4328"/>
    <w:rsid w:val="002A46A3"/>
    <w:rsid w:val="002B213D"/>
    <w:rsid w:val="002B418F"/>
    <w:rsid w:val="002B49D8"/>
    <w:rsid w:val="002C0C9A"/>
    <w:rsid w:val="002C5A13"/>
    <w:rsid w:val="002D2CE7"/>
    <w:rsid w:val="002D3290"/>
    <w:rsid w:val="002D401E"/>
    <w:rsid w:val="002D5DBD"/>
    <w:rsid w:val="002D7DBB"/>
    <w:rsid w:val="002E223B"/>
    <w:rsid w:val="002E6858"/>
    <w:rsid w:val="002E71FE"/>
    <w:rsid w:val="002F443A"/>
    <w:rsid w:val="00302758"/>
    <w:rsid w:val="00307790"/>
    <w:rsid w:val="00310F18"/>
    <w:rsid w:val="00312751"/>
    <w:rsid w:val="003158C6"/>
    <w:rsid w:val="00315F55"/>
    <w:rsid w:val="00326B2E"/>
    <w:rsid w:val="0033070D"/>
    <w:rsid w:val="003307F9"/>
    <w:rsid w:val="00333652"/>
    <w:rsid w:val="00334157"/>
    <w:rsid w:val="00334642"/>
    <w:rsid w:val="00334C63"/>
    <w:rsid w:val="003365F8"/>
    <w:rsid w:val="0034103D"/>
    <w:rsid w:val="00344495"/>
    <w:rsid w:val="00346560"/>
    <w:rsid w:val="00350710"/>
    <w:rsid w:val="00350753"/>
    <w:rsid w:val="003511AA"/>
    <w:rsid w:val="0035571E"/>
    <w:rsid w:val="003560C1"/>
    <w:rsid w:val="003679A7"/>
    <w:rsid w:val="00371DB2"/>
    <w:rsid w:val="00372C72"/>
    <w:rsid w:val="003763DC"/>
    <w:rsid w:val="00382C9C"/>
    <w:rsid w:val="00383279"/>
    <w:rsid w:val="00385205"/>
    <w:rsid w:val="003863E8"/>
    <w:rsid w:val="00392886"/>
    <w:rsid w:val="003952D0"/>
    <w:rsid w:val="003A0678"/>
    <w:rsid w:val="003A3423"/>
    <w:rsid w:val="003A6771"/>
    <w:rsid w:val="003B1123"/>
    <w:rsid w:val="003B155D"/>
    <w:rsid w:val="003B15FF"/>
    <w:rsid w:val="003B2CA7"/>
    <w:rsid w:val="003B3496"/>
    <w:rsid w:val="003B3EC7"/>
    <w:rsid w:val="003B5338"/>
    <w:rsid w:val="003B56B0"/>
    <w:rsid w:val="003B68BC"/>
    <w:rsid w:val="003B7FB8"/>
    <w:rsid w:val="003C14B5"/>
    <w:rsid w:val="003C21F7"/>
    <w:rsid w:val="003C45F4"/>
    <w:rsid w:val="003C6FB0"/>
    <w:rsid w:val="003D14B6"/>
    <w:rsid w:val="003D38D6"/>
    <w:rsid w:val="003E0882"/>
    <w:rsid w:val="003E0E3B"/>
    <w:rsid w:val="003E11EF"/>
    <w:rsid w:val="003E12A0"/>
    <w:rsid w:val="003E4285"/>
    <w:rsid w:val="003E4EF8"/>
    <w:rsid w:val="003E5D0B"/>
    <w:rsid w:val="003F0D4D"/>
    <w:rsid w:val="003F189F"/>
    <w:rsid w:val="003F6F79"/>
    <w:rsid w:val="004036BE"/>
    <w:rsid w:val="0040541C"/>
    <w:rsid w:val="00406E59"/>
    <w:rsid w:val="00411602"/>
    <w:rsid w:val="00415609"/>
    <w:rsid w:val="00415737"/>
    <w:rsid w:val="004206CB"/>
    <w:rsid w:val="00421FD2"/>
    <w:rsid w:val="00434306"/>
    <w:rsid w:val="00437169"/>
    <w:rsid w:val="004372BE"/>
    <w:rsid w:val="004422C0"/>
    <w:rsid w:val="00445EE0"/>
    <w:rsid w:val="004525EA"/>
    <w:rsid w:val="00453DBB"/>
    <w:rsid w:val="00461A80"/>
    <w:rsid w:val="004639DF"/>
    <w:rsid w:val="00464D07"/>
    <w:rsid w:val="00473928"/>
    <w:rsid w:val="00473A16"/>
    <w:rsid w:val="00473DA5"/>
    <w:rsid w:val="0047555F"/>
    <w:rsid w:val="004814DD"/>
    <w:rsid w:val="00483B06"/>
    <w:rsid w:val="00483D72"/>
    <w:rsid w:val="0048748D"/>
    <w:rsid w:val="00490D00"/>
    <w:rsid w:val="00491C7F"/>
    <w:rsid w:val="00491E38"/>
    <w:rsid w:val="00492681"/>
    <w:rsid w:val="00493CA0"/>
    <w:rsid w:val="0049759B"/>
    <w:rsid w:val="004A1F96"/>
    <w:rsid w:val="004A2C86"/>
    <w:rsid w:val="004A40D9"/>
    <w:rsid w:val="004A57B6"/>
    <w:rsid w:val="004A7454"/>
    <w:rsid w:val="004B22B1"/>
    <w:rsid w:val="004B28C8"/>
    <w:rsid w:val="004B748A"/>
    <w:rsid w:val="004B7E74"/>
    <w:rsid w:val="004C177C"/>
    <w:rsid w:val="004C2AF5"/>
    <w:rsid w:val="004C3882"/>
    <w:rsid w:val="004C5599"/>
    <w:rsid w:val="004E130F"/>
    <w:rsid w:val="004E22E5"/>
    <w:rsid w:val="004E5B6F"/>
    <w:rsid w:val="004E684D"/>
    <w:rsid w:val="004E6F78"/>
    <w:rsid w:val="004E7521"/>
    <w:rsid w:val="004F0E6D"/>
    <w:rsid w:val="004F0EA9"/>
    <w:rsid w:val="004F3174"/>
    <w:rsid w:val="004F4BF9"/>
    <w:rsid w:val="00503263"/>
    <w:rsid w:val="005150AE"/>
    <w:rsid w:val="00515474"/>
    <w:rsid w:val="00516C19"/>
    <w:rsid w:val="005214F5"/>
    <w:rsid w:val="00526DEA"/>
    <w:rsid w:val="00532EB2"/>
    <w:rsid w:val="00533825"/>
    <w:rsid w:val="00543C3D"/>
    <w:rsid w:val="005453AA"/>
    <w:rsid w:val="00545C62"/>
    <w:rsid w:val="00547A1F"/>
    <w:rsid w:val="00552458"/>
    <w:rsid w:val="0055445B"/>
    <w:rsid w:val="00560BD0"/>
    <w:rsid w:val="00561B46"/>
    <w:rsid w:val="005657B5"/>
    <w:rsid w:val="00571956"/>
    <w:rsid w:val="00575B45"/>
    <w:rsid w:val="005801FE"/>
    <w:rsid w:val="00580C9F"/>
    <w:rsid w:val="00583611"/>
    <w:rsid w:val="00583FB3"/>
    <w:rsid w:val="00584087"/>
    <w:rsid w:val="00585909"/>
    <w:rsid w:val="0059107A"/>
    <w:rsid w:val="005942DF"/>
    <w:rsid w:val="00595F96"/>
    <w:rsid w:val="00596679"/>
    <w:rsid w:val="005A3384"/>
    <w:rsid w:val="005A3649"/>
    <w:rsid w:val="005A571F"/>
    <w:rsid w:val="005A6103"/>
    <w:rsid w:val="005A639D"/>
    <w:rsid w:val="005B1615"/>
    <w:rsid w:val="005B17B6"/>
    <w:rsid w:val="005B1ED0"/>
    <w:rsid w:val="005B6F4E"/>
    <w:rsid w:val="005B7030"/>
    <w:rsid w:val="005B7104"/>
    <w:rsid w:val="005C2AAA"/>
    <w:rsid w:val="005C3FFB"/>
    <w:rsid w:val="005C6FBA"/>
    <w:rsid w:val="005C7278"/>
    <w:rsid w:val="005C79DB"/>
    <w:rsid w:val="005D0AC7"/>
    <w:rsid w:val="005D0DD0"/>
    <w:rsid w:val="005D1973"/>
    <w:rsid w:val="005D22DA"/>
    <w:rsid w:val="005D35FB"/>
    <w:rsid w:val="005D53CD"/>
    <w:rsid w:val="005D75D1"/>
    <w:rsid w:val="005E24B8"/>
    <w:rsid w:val="005E5BC9"/>
    <w:rsid w:val="005F1978"/>
    <w:rsid w:val="005F3BC5"/>
    <w:rsid w:val="005F528D"/>
    <w:rsid w:val="006013FD"/>
    <w:rsid w:val="0060634E"/>
    <w:rsid w:val="006065B6"/>
    <w:rsid w:val="00615942"/>
    <w:rsid w:val="00617A2E"/>
    <w:rsid w:val="00624853"/>
    <w:rsid w:val="0063063B"/>
    <w:rsid w:val="0063658C"/>
    <w:rsid w:val="00640ECB"/>
    <w:rsid w:val="006414AE"/>
    <w:rsid w:val="00650DAD"/>
    <w:rsid w:val="006510F7"/>
    <w:rsid w:val="00651653"/>
    <w:rsid w:val="00655D12"/>
    <w:rsid w:val="0065783E"/>
    <w:rsid w:val="006636FE"/>
    <w:rsid w:val="00671233"/>
    <w:rsid w:val="006739C9"/>
    <w:rsid w:val="00676127"/>
    <w:rsid w:val="00677C08"/>
    <w:rsid w:val="006926D0"/>
    <w:rsid w:val="00693615"/>
    <w:rsid w:val="00693C16"/>
    <w:rsid w:val="00694499"/>
    <w:rsid w:val="006944EB"/>
    <w:rsid w:val="0069492F"/>
    <w:rsid w:val="00696E00"/>
    <w:rsid w:val="006A09C3"/>
    <w:rsid w:val="006A1322"/>
    <w:rsid w:val="006A3327"/>
    <w:rsid w:val="006A4D90"/>
    <w:rsid w:val="006A7A48"/>
    <w:rsid w:val="006B18ED"/>
    <w:rsid w:val="006B4DD0"/>
    <w:rsid w:val="006C4B76"/>
    <w:rsid w:val="006C6115"/>
    <w:rsid w:val="006D06D3"/>
    <w:rsid w:val="006D2482"/>
    <w:rsid w:val="006D4200"/>
    <w:rsid w:val="006D43A0"/>
    <w:rsid w:val="006D6BE5"/>
    <w:rsid w:val="006D6E59"/>
    <w:rsid w:val="006E1D79"/>
    <w:rsid w:val="006E4D50"/>
    <w:rsid w:val="006E52BC"/>
    <w:rsid w:val="006E6B77"/>
    <w:rsid w:val="006F0251"/>
    <w:rsid w:val="006F047C"/>
    <w:rsid w:val="006F347F"/>
    <w:rsid w:val="006F4AE1"/>
    <w:rsid w:val="006F6D40"/>
    <w:rsid w:val="00701317"/>
    <w:rsid w:val="00704242"/>
    <w:rsid w:val="00704CCC"/>
    <w:rsid w:val="00705E83"/>
    <w:rsid w:val="00712DE7"/>
    <w:rsid w:val="00715481"/>
    <w:rsid w:val="00715784"/>
    <w:rsid w:val="007158C7"/>
    <w:rsid w:val="0071702E"/>
    <w:rsid w:val="00723546"/>
    <w:rsid w:val="007248D1"/>
    <w:rsid w:val="007257F6"/>
    <w:rsid w:val="007300FE"/>
    <w:rsid w:val="007322EA"/>
    <w:rsid w:val="007327B0"/>
    <w:rsid w:val="00736F6F"/>
    <w:rsid w:val="007420C7"/>
    <w:rsid w:val="00743212"/>
    <w:rsid w:val="007447E4"/>
    <w:rsid w:val="00744ACC"/>
    <w:rsid w:val="00746D2A"/>
    <w:rsid w:val="00750692"/>
    <w:rsid w:val="00751605"/>
    <w:rsid w:val="00755BD9"/>
    <w:rsid w:val="00760D84"/>
    <w:rsid w:val="00762D6D"/>
    <w:rsid w:val="00766A4B"/>
    <w:rsid w:val="00770B21"/>
    <w:rsid w:val="007714AC"/>
    <w:rsid w:val="007727D7"/>
    <w:rsid w:val="007750CE"/>
    <w:rsid w:val="0077693D"/>
    <w:rsid w:val="00781E53"/>
    <w:rsid w:val="00782C22"/>
    <w:rsid w:val="00782F08"/>
    <w:rsid w:val="00786095"/>
    <w:rsid w:val="00786C98"/>
    <w:rsid w:val="00790332"/>
    <w:rsid w:val="0079075F"/>
    <w:rsid w:val="00791249"/>
    <w:rsid w:val="007A3694"/>
    <w:rsid w:val="007A3EB5"/>
    <w:rsid w:val="007A6BC6"/>
    <w:rsid w:val="007B0A40"/>
    <w:rsid w:val="007B3D3D"/>
    <w:rsid w:val="007B4BD6"/>
    <w:rsid w:val="007C19B7"/>
    <w:rsid w:val="007C19F7"/>
    <w:rsid w:val="007C3092"/>
    <w:rsid w:val="007C3C9B"/>
    <w:rsid w:val="007C566B"/>
    <w:rsid w:val="007C67E4"/>
    <w:rsid w:val="007C696E"/>
    <w:rsid w:val="007D29FB"/>
    <w:rsid w:val="007D3FC3"/>
    <w:rsid w:val="007E29FA"/>
    <w:rsid w:val="007E45E8"/>
    <w:rsid w:val="007E5152"/>
    <w:rsid w:val="007E7A7A"/>
    <w:rsid w:val="007F0770"/>
    <w:rsid w:val="007F1BE3"/>
    <w:rsid w:val="007F207D"/>
    <w:rsid w:val="007F473B"/>
    <w:rsid w:val="007F5F7B"/>
    <w:rsid w:val="00804846"/>
    <w:rsid w:val="00805B7F"/>
    <w:rsid w:val="008061CD"/>
    <w:rsid w:val="00807EF5"/>
    <w:rsid w:val="00816B09"/>
    <w:rsid w:val="008206A2"/>
    <w:rsid w:val="00820DFF"/>
    <w:rsid w:val="0082157B"/>
    <w:rsid w:val="008219ED"/>
    <w:rsid w:val="00824D5E"/>
    <w:rsid w:val="0082530B"/>
    <w:rsid w:val="0082701F"/>
    <w:rsid w:val="008348B6"/>
    <w:rsid w:val="0083770A"/>
    <w:rsid w:val="00837D87"/>
    <w:rsid w:val="008404B7"/>
    <w:rsid w:val="008408B5"/>
    <w:rsid w:val="00841AC0"/>
    <w:rsid w:val="00842F88"/>
    <w:rsid w:val="008445FD"/>
    <w:rsid w:val="00845035"/>
    <w:rsid w:val="008458F7"/>
    <w:rsid w:val="00852159"/>
    <w:rsid w:val="008524BF"/>
    <w:rsid w:val="008555E9"/>
    <w:rsid w:val="00861A17"/>
    <w:rsid w:val="00862455"/>
    <w:rsid w:val="00866E74"/>
    <w:rsid w:val="008707B8"/>
    <w:rsid w:val="0087370F"/>
    <w:rsid w:val="008740A6"/>
    <w:rsid w:val="00880985"/>
    <w:rsid w:val="008868CF"/>
    <w:rsid w:val="00890606"/>
    <w:rsid w:val="008916F9"/>
    <w:rsid w:val="00892105"/>
    <w:rsid w:val="00893595"/>
    <w:rsid w:val="008978C6"/>
    <w:rsid w:val="00897CB0"/>
    <w:rsid w:val="008A6204"/>
    <w:rsid w:val="008A69BD"/>
    <w:rsid w:val="008B22BD"/>
    <w:rsid w:val="008C20F1"/>
    <w:rsid w:val="008C4015"/>
    <w:rsid w:val="008C7FFB"/>
    <w:rsid w:val="008D2761"/>
    <w:rsid w:val="008D2CE1"/>
    <w:rsid w:val="008D4DAF"/>
    <w:rsid w:val="008D6B00"/>
    <w:rsid w:val="008E2A48"/>
    <w:rsid w:val="008E2FF1"/>
    <w:rsid w:val="008E3678"/>
    <w:rsid w:val="008E3CFD"/>
    <w:rsid w:val="008E68CD"/>
    <w:rsid w:val="008F2EA3"/>
    <w:rsid w:val="008F3C89"/>
    <w:rsid w:val="008F691E"/>
    <w:rsid w:val="008F7FEB"/>
    <w:rsid w:val="0090052B"/>
    <w:rsid w:val="009006C5"/>
    <w:rsid w:val="00901A20"/>
    <w:rsid w:val="00914C8C"/>
    <w:rsid w:val="00914E3D"/>
    <w:rsid w:val="00915EF7"/>
    <w:rsid w:val="009236FE"/>
    <w:rsid w:val="009306EA"/>
    <w:rsid w:val="00932597"/>
    <w:rsid w:val="0093264E"/>
    <w:rsid w:val="0093334D"/>
    <w:rsid w:val="00933B8B"/>
    <w:rsid w:val="00936A1C"/>
    <w:rsid w:val="00937C09"/>
    <w:rsid w:val="0094066F"/>
    <w:rsid w:val="009426A6"/>
    <w:rsid w:val="009428F8"/>
    <w:rsid w:val="00942F6D"/>
    <w:rsid w:val="009440EA"/>
    <w:rsid w:val="00945764"/>
    <w:rsid w:val="00945F9D"/>
    <w:rsid w:val="0094761D"/>
    <w:rsid w:val="00957A0B"/>
    <w:rsid w:val="009606FD"/>
    <w:rsid w:val="00960DBF"/>
    <w:rsid w:val="0096273A"/>
    <w:rsid w:val="0096358D"/>
    <w:rsid w:val="00964995"/>
    <w:rsid w:val="00965F03"/>
    <w:rsid w:val="0096677D"/>
    <w:rsid w:val="00966A9F"/>
    <w:rsid w:val="00967440"/>
    <w:rsid w:val="00977C1A"/>
    <w:rsid w:val="009833CB"/>
    <w:rsid w:val="00985C98"/>
    <w:rsid w:val="00991432"/>
    <w:rsid w:val="009917FB"/>
    <w:rsid w:val="009927A3"/>
    <w:rsid w:val="00994174"/>
    <w:rsid w:val="00994C24"/>
    <w:rsid w:val="00995414"/>
    <w:rsid w:val="009A25A0"/>
    <w:rsid w:val="009A30B4"/>
    <w:rsid w:val="009A4172"/>
    <w:rsid w:val="009A539E"/>
    <w:rsid w:val="009B2470"/>
    <w:rsid w:val="009B2DF8"/>
    <w:rsid w:val="009B6ADC"/>
    <w:rsid w:val="009C5D05"/>
    <w:rsid w:val="009C654C"/>
    <w:rsid w:val="009D269B"/>
    <w:rsid w:val="009E0060"/>
    <w:rsid w:val="009E168D"/>
    <w:rsid w:val="009E1B86"/>
    <w:rsid w:val="009E2E8A"/>
    <w:rsid w:val="009E3496"/>
    <w:rsid w:val="009E61F9"/>
    <w:rsid w:val="009F0F8A"/>
    <w:rsid w:val="009F76A1"/>
    <w:rsid w:val="00A035D2"/>
    <w:rsid w:val="00A0386A"/>
    <w:rsid w:val="00A04847"/>
    <w:rsid w:val="00A068F7"/>
    <w:rsid w:val="00A15FD3"/>
    <w:rsid w:val="00A167C2"/>
    <w:rsid w:val="00A2104F"/>
    <w:rsid w:val="00A23A8E"/>
    <w:rsid w:val="00A31FAC"/>
    <w:rsid w:val="00A342CB"/>
    <w:rsid w:val="00A40D25"/>
    <w:rsid w:val="00A438B6"/>
    <w:rsid w:val="00A43948"/>
    <w:rsid w:val="00A44908"/>
    <w:rsid w:val="00A4499D"/>
    <w:rsid w:val="00A47239"/>
    <w:rsid w:val="00A5065D"/>
    <w:rsid w:val="00A52688"/>
    <w:rsid w:val="00A577DA"/>
    <w:rsid w:val="00A6000C"/>
    <w:rsid w:val="00A63862"/>
    <w:rsid w:val="00A64D1F"/>
    <w:rsid w:val="00A728DD"/>
    <w:rsid w:val="00A72CA7"/>
    <w:rsid w:val="00A7329A"/>
    <w:rsid w:val="00A74BAC"/>
    <w:rsid w:val="00A74CCC"/>
    <w:rsid w:val="00A76D5C"/>
    <w:rsid w:val="00A77608"/>
    <w:rsid w:val="00A77C7D"/>
    <w:rsid w:val="00A8170B"/>
    <w:rsid w:val="00A82952"/>
    <w:rsid w:val="00A84FF5"/>
    <w:rsid w:val="00A85662"/>
    <w:rsid w:val="00A932C3"/>
    <w:rsid w:val="00A93486"/>
    <w:rsid w:val="00A939B1"/>
    <w:rsid w:val="00A9732A"/>
    <w:rsid w:val="00A97AB8"/>
    <w:rsid w:val="00AA441F"/>
    <w:rsid w:val="00AA5523"/>
    <w:rsid w:val="00AA5920"/>
    <w:rsid w:val="00AA6E11"/>
    <w:rsid w:val="00AB4546"/>
    <w:rsid w:val="00AB454C"/>
    <w:rsid w:val="00AB5947"/>
    <w:rsid w:val="00AC1E39"/>
    <w:rsid w:val="00AC34B0"/>
    <w:rsid w:val="00AC3D7D"/>
    <w:rsid w:val="00AC501E"/>
    <w:rsid w:val="00AC6542"/>
    <w:rsid w:val="00AD463C"/>
    <w:rsid w:val="00AE03CC"/>
    <w:rsid w:val="00AE1BE1"/>
    <w:rsid w:val="00AE6071"/>
    <w:rsid w:val="00AF0302"/>
    <w:rsid w:val="00AF13D3"/>
    <w:rsid w:val="00AF3233"/>
    <w:rsid w:val="00AF39A4"/>
    <w:rsid w:val="00AF45D7"/>
    <w:rsid w:val="00AF49C3"/>
    <w:rsid w:val="00B00242"/>
    <w:rsid w:val="00B0262A"/>
    <w:rsid w:val="00B06A4F"/>
    <w:rsid w:val="00B07449"/>
    <w:rsid w:val="00B07E4E"/>
    <w:rsid w:val="00B21571"/>
    <w:rsid w:val="00B2485A"/>
    <w:rsid w:val="00B256B8"/>
    <w:rsid w:val="00B31F24"/>
    <w:rsid w:val="00B34830"/>
    <w:rsid w:val="00B370C9"/>
    <w:rsid w:val="00B40368"/>
    <w:rsid w:val="00B41931"/>
    <w:rsid w:val="00B43E1C"/>
    <w:rsid w:val="00B5257F"/>
    <w:rsid w:val="00B54515"/>
    <w:rsid w:val="00B54F02"/>
    <w:rsid w:val="00B5593F"/>
    <w:rsid w:val="00B55D15"/>
    <w:rsid w:val="00B57780"/>
    <w:rsid w:val="00B62061"/>
    <w:rsid w:val="00B6572F"/>
    <w:rsid w:val="00B67E35"/>
    <w:rsid w:val="00B76F2D"/>
    <w:rsid w:val="00B80DFF"/>
    <w:rsid w:val="00B813C3"/>
    <w:rsid w:val="00B8646E"/>
    <w:rsid w:val="00B95600"/>
    <w:rsid w:val="00B972F5"/>
    <w:rsid w:val="00B97D3C"/>
    <w:rsid w:val="00BA2660"/>
    <w:rsid w:val="00BA2F9D"/>
    <w:rsid w:val="00BA3822"/>
    <w:rsid w:val="00BA73BF"/>
    <w:rsid w:val="00BB02E3"/>
    <w:rsid w:val="00BB0693"/>
    <w:rsid w:val="00BB3FD7"/>
    <w:rsid w:val="00BB7629"/>
    <w:rsid w:val="00BC00F5"/>
    <w:rsid w:val="00BC2B2D"/>
    <w:rsid w:val="00BC384C"/>
    <w:rsid w:val="00BC3D83"/>
    <w:rsid w:val="00BC6E5C"/>
    <w:rsid w:val="00BD1C0C"/>
    <w:rsid w:val="00BD4608"/>
    <w:rsid w:val="00BE2A5C"/>
    <w:rsid w:val="00BE3696"/>
    <w:rsid w:val="00BE47FB"/>
    <w:rsid w:val="00BE4EDE"/>
    <w:rsid w:val="00BF032F"/>
    <w:rsid w:val="00BF1518"/>
    <w:rsid w:val="00BF242E"/>
    <w:rsid w:val="00BF271E"/>
    <w:rsid w:val="00BF39EC"/>
    <w:rsid w:val="00BF40EB"/>
    <w:rsid w:val="00BF6CBC"/>
    <w:rsid w:val="00C004F8"/>
    <w:rsid w:val="00C009A8"/>
    <w:rsid w:val="00C05BA8"/>
    <w:rsid w:val="00C06785"/>
    <w:rsid w:val="00C13B30"/>
    <w:rsid w:val="00C1446D"/>
    <w:rsid w:val="00C14A2F"/>
    <w:rsid w:val="00C14AD9"/>
    <w:rsid w:val="00C211AA"/>
    <w:rsid w:val="00C254DE"/>
    <w:rsid w:val="00C40966"/>
    <w:rsid w:val="00C40D31"/>
    <w:rsid w:val="00C43EE7"/>
    <w:rsid w:val="00C501CF"/>
    <w:rsid w:val="00C56136"/>
    <w:rsid w:val="00C573AA"/>
    <w:rsid w:val="00C61EC8"/>
    <w:rsid w:val="00C6218D"/>
    <w:rsid w:val="00C62900"/>
    <w:rsid w:val="00C64AC1"/>
    <w:rsid w:val="00C65742"/>
    <w:rsid w:val="00C719BA"/>
    <w:rsid w:val="00C77621"/>
    <w:rsid w:val="00C77ADB"/>
    <w:rsid w:val="00C81FE7"/>
    <w:rsid w:val="00C83B93"/>
    <w:rsid w:val="00C850FC"/>
    <w:rsid w:val="00C85ECE"/>
    <w:rsid w:val="00C87F43"/>
    <w:rsid w:val="00C93508"/>
    <w:rsid w:val="00C949A1"/>
    <w:rsid w:val="00C94A57"/>
    <w:rsid w:val="00C94A5A"/>
    <w:rsid w:val="00C96FFB"/>
    <w:rsid w:val="00CA1E2D"/>
    <w:rsid w:val="00CA52A6"/>
    <w:rsid w:val="00CB1807"/>
    <w:rsid w:val="00CB4B9D"/>
    <w:rsid w:val="00CB6953"/>
    <w:rsid w:val="00CB6A5E"/>
    <w:rsid w:val="00CB785E"/>
    <w:rsid w:val="00CC0299"/>
    <w:rsid w:val="00CC1D25"/>
    <w:rsid w:val="00CC3353"/>
    <w:rsid w:val="00CC486F"/>
    <w:rsid w:val="00CC795E"/>
    <w:rsid w:val="00CD22D0"/>
    <w:rsid w:val="00CD38AF"/>
    <w:rsid w:val="00CD500F"/>
    <w:rsid w:val="00CD50AB"/>
    <w:rsid w:val="00CE1DC1"/>
    <w:rsid w:val="00CE24BA"/>
    <w:rsid w:val="00CE281E"/>
    <w:rsid w:val="00CE3369"/>
    <w:rsid w:val="00CE3762"/>
    <w:rsid w:val="00CE5237"/>
    <w:rsid w:val="00CE5D74"/>
    <w:rsid w:val="00CE79A2"/>
    <w:rsid w:val="00CF3CC8"/>
    <w:rsid w:val="00D042C7"/>
    <w:rsid w:val="00D05AD0"/>
    <w:rsid w:val="00D06628"/>
    <w:rsid w:val="00D22F32"/>
    <w:rsid w:val="00D27235"/>
    <w:rsid w:val="00D315CC"/>
    <w:rsid w:val="00D31D0C"/>
    <w:rsid w:val="00D3237A"/>
    <w:rsid w:val="00D420F1"/>
    <w:rsid w:val="00D430EF"/>
    <w:rsid w:val="00D603A3"/>
    <w:rsid w:val="00D6351B"/>
    <w:rsid w:val="00D764D0"/>
    <w:rsid w:val="00D81887"/>
    <w:rsid w:val="00D85F32"/>
    <w:rsid w:val="00D87548"/>
    <w:rsid w:val="00D90A7E"/>
    <w:rsid w:val="00D918EC"/>
    <w:rsid w:val="00D91A8A"/>
    <w:rsid w:val="00D93FCF"/>
    <w:rsid w:val="00D95B93"/>
    <w:rsid w:val="00D9651D"/>
    <w:rsid w:val="00DA0FF4"/>
    <w:rsid w:val="00DA41FA"/>
    <w:rsid w:val="00DA769C"/>
    <w:rsid w:val="00DB064F"/>
    <w:rsid w:val="00DC1C59"/>
    <w:rsid w:val="00DC2105"/>
    <w:rsid w:val="00DD062D"/>
    <w:rsid w:val="00DD7751"/>
    <w:rsid w:val="00DE0B63"/>
    <w:rsid w:val="00DE421B"/>
    <w:rsid w:val="00DE630D"/>
    <w:rsid w:val="00DF01B7"/>
    <w:rsid w:val="00DF0FBE"/>
    <w:rsid w:val="00DF2C2A"/>
    <w:rsid w:val="00DF32DC"/>
    <w:rsid w:val="00DF3E3C"/>
    <w:rsid w:val="00DF4723"/>
    <w:rsid w:val="00DF4D8F"/>
    <w:rsid w:val="00DF4DA6"/>
    <w:rsid w:val="00E05B20"/>
    <w:rsid w:val="00E06312"/>
    <w:rsid w:val="00E07374"/>
    <w:rsid w:val="00E103ED"/>
    <w:rsid w:val="00E139D3"/>
    <w:rsid w:val="00E15BAE"/>
    <w:rsid w:val="00E16F55"/>
    <w:rsid w:val="00E33AAF"/>
    <w:rsid w:val="00E34AA9"/>
    <w:rsid w:val="00E35DBB"/>
    <w:rsid w:val="00E405FB"/>
    <w:rsid w:val="00E415B0"/>
    <w:rsid w:val="00E41F83"/>
    <w:rsid w:val="00E4458B"/>
    <w:rsid w:val="00E4583B"/>
    <w:rsid w:val="00E47CDC"/>
    <w:rsid w:val="00E510D9"/>
    <w:rsid w:val="00E525F8"/>
    <w:rsid w:val="00E5370D"/>
    <w:rsid w:val="00E6435F"/>
    <w:rsid w:val="00E6698D"/>
    <w:rsid w:val="00E67C12"/>
    <w:rsid w:val="00E73AC3"/>
    <w:rsid w:val="00E77D91"/>
    <w:rsid w:val="00E82BAF"/>
    <w:rsid w:val="00E846F1"/>
    <w:rsid w:val="00E8485C"/>
    <w:rsid w:val="00E90F22"/>
    <w:rsid w:val="00E92004"/>
    <w:rsid w:val="00E94FBA"/>
    <w:rsid w:val="00E95E3B"/>
    <w:rsid w:val="00EA1900"/>
    <w:rsid w:val="00EA7CAF"/>
    <w:rsid w:val="00EB6A13"/>
    <w:rsid w:val="00EC1DBF"/>
    <w:rsid w:val="00EC4F23"/>
    <w:rsid w:val="00EC5DB0"/>
    <w:rsid w:val="00EC69D4"/>
    <w:rsid w:val="00ED17B6"/>
    <w:rsid w:val="00ED442B"/>
    <w:rsid w:val="00ED514C"/>
    <w:rsid w:val="00EE00C7"/>
    <w:rsid w:val="00EE563A"/>
    <w:rsid w:val="00EE5E1A"/>
    <w:rsid w:val="00EE6404"/>
    <w:rsid w:val="00EE7F59"/>
    <w:rsid w:val="00EF1762"/>
    <w:rsid w:val="00EF6A49"/>
    <w:rsid w:val="00EF7520"/>
    <w:rsid w:val="00F05185"/>
    <w:rsid w:val="00F07183"/>
    <w:rsid w:val="00F10F29"/>
    <w:rsid w:val="00F11F4E"/>
    <w:rsid w:val="00F124CA"/>
    <w:rsid w:val="00F14F5B"/>
    <w:rsid w:val="00F17FCD"/>
    <w:rsid w:val="00F22EC0"/>
    <w:rsid w:val="00F23CB1"/>
    <w:rsid w:val="00F24DD4"/>
    <w:rsid w:val="00F304D5"/>
    <w:rsid w:val="00F30FA9"/>
    <w:rsid w:val="00F3246F"/>
    <w:rsid w:val="00F34FFF"/>
    <w:rsid w:val="00F35D29"/>
    <w:rsid w:val="00F402D0"/>
    <w:rsid w:val="00F40424"/>
    <w:rsid w:val="00F422B8"/>
    <w:rsid w:val="00F52105"/>
    <w:rsid w:val="00F5270F"/>
    <w:rsid w:val="00F60E1B"/>
    <w:rsid w:val="00F63D73"/>
    <w:rsid w:val="00F6466F"/>
    <w:rsid w:val="00F65B71"/>
    <w:rsid w:val="00F7217A"/>
    <w:rsid w:val="00F725BC"/>
    <w:rsid w:val="00F742BB"/>
    <w:rsid w:val="00F7472E"/>
    <w:rsid w:val="00F82E40"/>
    <w:rsid w:val="00F8534D"/>
    <w:rsid w:val="00F9005E"/>
    <w:rsid w:val="00F91A0D"/>
    <w:rsid w:val="00F93026"/>
    <w:rsid w:val="00F946D7"/>
    <w:rsid w:val="00F9675D"/>
    <w:rsid w:val="00FA0EC0"/>
    <w:rsid w:val="00FA3565"/>
    <w:rsid w:val="00FA4AAA"/>
    <w:rsid w:val="00FB199E"/>
    <w:rsid w:val="00FB2EFB"/>
    <w:rsid w:val="00FB515F"/>
    <w:rsid w:val="00FC3282"/>
    <w:rsid w:val="00FC363A"/>
    <w:rsid w:val="00FC51BE"/>
    <w:rsid w:val="00FC71EB"/>
    <w:rsid w:val="00FD1599"/>
    <w:rsid w:val="00FD7047"/>
    <w:rsid w:val="00FE6C42"/>
    <w:rsid w:val="00FE7C3D"/>
    <w:rsid w:val="00FF398B"/>
    <w:rsid w:val="00FF3BE1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2C6852"/>
  <w15:docId w15:val="{1100FE9A-84CF-4B8F-86E1-A90379BF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ED0"/>
  </w:style>
  <w:style w:type="paragraph" w:styleId="Titre1">
    <w:name w:val="heading 1"/>
    <w:basedOn w:val="Normal"/>
    <w:next w:val="Normal"/>
    <w:link w:val="Titre1Car"/>
    <w:uiPriority w:val="9"/>
    <w:qFormat/>
    <w:rsid w:val="007248D1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color w:val="365F91" w:themeColor="accent1" w:themeShade="BF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48D1"/>
    <w:pPr>
      <w:keepNext/>
      <w:keepLines/>
      <w:spacing w:before="200" w:after="0"/>
      <w:outlineLvl w:val="1"/>
    </w:pPr>
    <w:rPr>
      <w:rFonts w:ascii="Century Gothic" w:eastAsiaTheme="majorEastAsia" w:hAnsi="Century Gothic" w:cstheme="majorBidi"/>
      <w:b/>
      <w:bCs/>
      <w:color w:val="4F81BD" w:themeColor="accent1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6065B6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4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4F23"/>
  </w:style>
  <w:style w:type="paragraph" w:styleId="Pieddepage">
    <w:name w:val="footer"/>
    <w:basedOn w:val="Normal"/>
    <w:link w:val="PieddepageCar"/>
    <w:uiPriority w:val="99"/>
    <w:unhideWhenUsed/>
    <w:rsid w:val="00EC4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4F23"/>
  </w:style>
  <w:style w:type="table" w:styleId="Grilledutableau">
    <w:name w:val="Table Grid"/>
    <w:basedOn w:val="TableauNormal"/>
    <w:uiPriority w:val="59"/>
    <w:rsid w:val="00EC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Lettre d'introduction,Paragraphe"/>
    <w:basedOn w:val="Normal"/>
    <w:link w:val="ParagraphedelisteCar"/>
    <w:uiPriority w:val="34"/>
    <w:qFormat/>
    <w:rsid w:val="002D5DB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01F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01F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801F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6C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211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211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211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11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11AA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033986"/>
    <w:rPr>
      <w:i/>
      <w:iCs/>
    </w:rPr>
  </w:style>
  <w:style w:type="paragraph" w:customStyle="1" w:styleId="Default">
    <w:name w:val="Default"/>
    <w:rsid w:val="00A74C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text">
    <w:name w:val="bodytext"/>
    <w:basedOn w:val="Normal"/>
    <w:rsid w:val="00015103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fr-BE"/>
    </w:rPr>
  </w:style>
  <w:style w:type="character" w:customStyle="1" w:styleId="Titre4Car">
    <w:name w:val="Titre 4 Car"/>
    <w:basedOn w:val="Policepardfaut"/>
    <w:link w:val="Titre4"/>
    <w:uiPriority w:val="9"/>
    <w:rsid w:val="006065B6"/>
    <w:rPr>
      <w:rFonts w:ascii="Tahoma" w:eastAsia="Times New Roman" w:hAnsi="Tahoma" w:cs="Times New Roman"/>
      <w:b/>
      <w:sz w:val="24"/>
      <w:szCs w:val="20"/>
      <w:lang w:val="fr-FR" w:eastAsia="fr-FR"/>
    </w:rPr>
  </w:style>
  <w:style w:type="character" w:customStyle="1" w:styleId="ParagraphedelisteCar">
    <w:name w:val="Paragraphe de liste Car"/>
    <w:aliases w:val="Lettre d'introduction Car,Paragraphe Car"/>
    <w:basedOn w:val="Policepardfaut"/>
    <w:link w:val="Paragraphedeliste"/>
    <w:uiPriority w:val="34"/>
    <w:locked/>
    <w:rsid w:val="00135B5B"/>
  </w:style>
  <w:style w:type="table" w:customStyle="1" w:styleId="Grilleclaire-Accent11">
    <w:name w:val="Grille claire - Accent 11"/>
    <w:basedOn w:val="TableauNormal"/>
    <w:uiPriority w:val="62"/>
    <w:rsid w:val="00135B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7248D1"/>
    <w:rPr>
      <w:rFonts w:ascii="Century Gothic" w:eastAsiaTheme="majorEastAsia" w:hAnsi="Century Gothic" w:cstheme="majorBidi"/>
      <w:b/>
      <w:bCs/>
      <w:color w:val="365F91" w:themeColor="accent1" w:themeShade="BF"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248D1"/>
    <w:rPr>
      <w:rFonts w:ascii="Century Gothic" w:eastAsiaTheme="majorEastAsia" w:hAnsi="Century Gothic" w:cstheme="majorBidi"/>
      <w:b/>
      <w:bCs/>
      <w:color w:val="4F81BD" w:themeColor="accent1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D6351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D6351B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D6351B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01317"/>
    <w:pPr>
      <w:spacing w:before="240" w:line="259" w:lineRule="auto"/>
      <w:outlineLvl w:val="9"/>
    </w:pPr>
    <w:rPr>
      <w:rFonts w:asciiTheme="majorHAnsi" w:hAnsiTheme="majorHAnsi"/>
      <w:b w:val="0"/>
      <w:bCs w:val="0"/>
      <w:sz w:val="32"/>
      <w:szCs w:val="32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4304CEA01E43D2B7D5726A2E6E74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243F10-1DE3-4415-9363-96FD1D8331B2}"/>
      </w:docPartPr>
      <w:docPartBody>
        <w:p w:rsidR="00E87C7B" w:rsidRDefault="00966CA2" w:rsidP="00966CA2">
          <w:pPr>
            <w:pStyle w:val="DD4304CEA01E43D2B7D5726A2E6E7429"/>
          </w:pPr>
          <w:r>
            <w:rPr>
              <w:color w:val="7F7F7F" w:themeColor="text1" w:themeTint="80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A2"/>
    <w:rsid w:val="002804AF"/>
    <w:rsid w:val="00293D00"/>
    <w:rsid w:val="006D309D"/>
    <w:rsid w:val="00966CA2"/>
    <w:rsid w:val="009E41FD"/>
    <w:rsid w:val="00C54509"/>
    <w:rsid w:val="00DA060B"/>
    <w:rsid w:val="00DA56BA"/>
    <w:rsid w:val="00E2504E"/>
    <w:rsid w:val="00E87C7B"/>
    <w:rsid w:val="00F15A3D"/>
    <w:rsid w:val="00F51EA3"/>
    <w:rsid w:val="00FA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D4304CEA01E43D2B7D5726A2E6E7429">
    <w:name w:val="DD4304CEA01E43D2B7D5726A2E6E7429"/>
    <w:rsid w:val="00966C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599A3-895A-448D-B18E-9BF17DC9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</Pages>
  <Words>1637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Marchés de faible montant – 10 décembre 2020</vt:lpstr>
    </vt:vector>
  </TitlesOfParts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Marchés de faible montant – 10 décembre 2020</dc:title>
  <dc:creator>47593</dc:creator>
  <cp:lastModifiedBy>DE RONDE Sebastien</cp:lastModifiedBy>
  <cp:revision>50</cp:revision>
  <cp:lastPrinted>2018-12-06T09:45:00Z</cp:lastPrinted>
  <dcterms:created xsi:type="dcterms:W3CDTF">2020-12-02T14:53:00Z</dcterms:created>
  <dcterms:modified xsi:type="dcterms:W3CDTF">2021-01-11T13:58:00Z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sebastien.deronde@spw.wallonie.be</vt:lpwstr>
  </property>
  <property fmtid="{D5CDD505-2E9C-101B-9397-08002B2CF9AE}" pid="5" name="MSIP_Label_e72a09c5-6e26-4737-a926-47ef1ab198ae_SetDate">
    <vt:lpwstr>2019-08-01T13:17:14.9692816Z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076dc752-400d-4276-86e9-4408156ad27f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