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4607E" w:rsidRPr="00C20E31" w:rsidTr="00C20E31">
        <w:tc>
          <w:tcPr>
            <w:tcW w:w="9212" w:type="dxa"/>
            <w:shd w:val="clear" w:color="auto" w:fill="F2F2F2"/>
          </w:tcPr>
          <w:p w:rsidR="0074607E" w:rsidRPr="007168EF" w:rsidRDefault="0074607E" w:rsidP="00C20E31">
            <w:pPr>
              <w:spacing w:before="60" w:after="60"/>
              <w:jc w:val="center"/>
              <w:rPr>
                <w:rFonts w:ascii="Calibri" w:eastAsia="Calibri" w:hAnsi="Calibri"/>
                <w:b/>
                <w:i/>
              </w:rPr>
            </w:pPr>
            <w:r w:rsidRPr="007168EF">
              <w:rPr>
                <w:rFonts w:ascii="Calibri" w:eastAsia="Calibri" w:hAnsi="Calibri"/>
                <w:b/>
                <w:i/>
              </w:rPr>
              <w:t xml:space="preserve">Légende d’utilisation du modèle </w:t>
            </w:r>
            <w:r w:rsidR="0023230D" w:rsidRPr="007168EF">
              <w:rPr>
                <w:rFonts w:ascii="Calibri" w:eastAsia="Calibri" w:hAnsi="Calibri"/>
                <w:b/>
                <w:i/>
              </w:rPr>
              <w:t>« </w:t>
            </w:r>
            <w:r w:rsidRPr="007168EF">
              <w:rPr>
                <w:rFonts w:ascii="Calibri" w:eastAsia="Calibri" w:hAnsi="Calibri"/>
                <w:b/>
                <w:i/>
              </w:rPr>
              <w:t>descripti</w:t>
            </w:r>
            <w:r w:rsidR="0023230D" w:rsidRPr="007168EF">
              <w:rPr>
                <w:rFonts w:ascii="Calibri" w:eastAsia="Calibri" w:hAnsi="Calibri"/>
                <w:b/>
                <w:i/>
              </w:rPr>
              <w:t>f</w:t>
            </w:r>
            <w:r w:rsidRPr="007168EF">
              <w:rPr>
                <w:rFonts w:ascii="Calibri" w:eastAsia="Calibri" w:hAnsi="Calibri"/>
                <w:b/>
                <w:i/>
              </w:rPr>
              <w:t xml:space="preserve"> de marché</w:t>
            </w:r>
            <w:r w:rsidR="0023230D" w:rsidRPr="007168EF">
              <w:rPr>
                <w:rFonts w:ascii="Calibri" w:eastAsia="Calibri" w:hAnsi="Calibri"/>
                <w:b/>
                <w:i/>
              </w:rPr>
              <w:t> »</w:t>
            </w:r>
          </w:p>
          <w:p w:rsidR="0074607E" w:rsidRPr="005B7207" w:rsidRDefault="0074607E" w:rsidP="00C20E31">
            <w:pPr>
              <w:spacing w:before="60" w:after="60"/>
              <w:jc w:val="both"/>
              <w:rPr>
                <w:rFonts w:ascii="Calibri" w:eastAsia="Calibri" w:hAnsi="Calibri"/>
              </w:rPr>
            </w:pPr>
            <w:r w:rsidRPr="005B7207">
              <w:rPr>
                <w:rFonts w:ascii="Calibri" w:eastAsia="Calibri" w:hAnsi="Calibri"/>
              </w:rPr>
              <w:t xml:space="preserve">Les surbrillances </w:t>
            </w:r>
            <w:r w:rsidRPr="005B7207">
              <w:rPr>
                <w:rFonts w:ascii="Calibri" w:eastAsia="Calibri" w:hAnsi="Calibri"/>
                <w:highlight w:val="yellow"/>
              </w:rPr>
              <w:t>jaunes</w:t>
            </w:r>
            <w:r w:rsidRPr="005B7207">
              <w:rPr>
                <w:rFonts w:ascii="Calibri" w:eastAsia="Calibri" w:hAnsi="Calibri"/>
              </w:rPr>
              <w:t xml:space="preserve"> correspondant à des mentions à compléter.</w:t>
            </w:r>
          </w:p>
          <w:p w:rsidR="0074607E" w:rsidRPr="005B7207" w:rsidRDefault="0074607E" w:rsidP="00C20E31">
            <w:pPr>
              <w:spacing w:before="60" w:after="60"/>
              <w:jc w:val="both"/>
              <w:rPr>
                <w:rFonts w:ascii="Calibri" w:eastAsia="Calibri" w:hAnsi="Calibri"/>
              </w:rPr>
            </w:pPr>
            <w:r w:rsidRPr="005B7207">
              <w:rPr>
                <w:rFonts w:ascii="Calibri" w:eastAsia="Calibri" w:hAnsi="Calibri"/>
              </w:rPr>
              <w:t xml:space="preserve">Les surbrillances </w:t>
            </w:r>
            <w:r w:rsidR="005B7207" w:rsidRPr="005B7207">
              <w:rPr>
                <w:rFonts w:ascii="Calibri" w:eastAsia="Calibri" w:hAnsi="Calibri"/>
                <w:highlight w:val="lightGray"/>
              </w:rPr>
              <w:t>grises</w:t>
            </w:r>
            <w:r w:rsidRPr="005B7207">
              <w:rPr>
                <w:rFonts w:ascii="Calibri" w:eastAsia="Calibri" w:hAnsi="Calibri"/>
              </w:rPr>
              <w:t xml:space="preserve"> correspondantes à des conseils/commentaires po</w:t>
            </w:r>
            <w:r w:rsidR="005B7207" w:rsidRPr="005B7207">
              <w:rPr>
                <w:rFonts w:ascii="Calibri" w:eastAsia="Calibri" w:hAnsi="Calibri"/>
              </w:rPr>
              <w:t xml:space="preserve">rtés à l’attention du rédacteur. </w:t>
            </w:r>
            <w:r w:rsidR="005B7207" w:rsidRPr="005B7207">
              <w:rPr>
                <w:rFonts w:ascii="Calibri" w:eastAsia="Calibri" w:hAnsi="Calibri"/>
                <w:u w:val="single"/>
              </w:rPr>
              <w:t>Ces mentions</w:t>
            </w:r>
            <w:r w:rsidRPr="005B7207">
              <w:rPr>
                <w:rFonts w:ascii="Calibri" w:eastAsia="Calibri" w:hAnsi="Calibri"/>
                <w:u w:val="single"/>
              </w:rPr>
              <w:t xml:space="preserve"> doivent être supprimé</w:t>
            </w:r>
            <w:r w:rsidR="005B7207" w:rsidRPr="005B7207">
              <w:rPr>
                <w:rFonts w:ascii="Calibri" w:eastAsia="Calibri" w:hAnsi="Calibri"/>
                <w:u w:val="single"/>
              </w:rPr>
              <w:t>e</w:t>
            </w:r>
            <w:r w:rsidRPr="005B7207">
              <w:rPr>
                <w:rFonts w:ascii="Calibri" w:eastAsia="Calibri" w:hAnsi="Calibri"/>
                <w:u w:val="single"/>
              </w:rPr>
              <w:t xml:space="preserve">s de votre </w:t>
            </w:r>
            <w:r w:rsidR="007168EF">
              <w:rPr>
                <w:rFonts w:ascii="Calibri" w:eastAsia="Calibri" w:hAnsi="Calibri"/>
                <w:u w:val="single"/>
              </w:rPr>
              <w:t>descriptif de marché</w:t>
            </w:r>
            <w:r w:rsidRPr="005B7207">
              <w:rPr>
                <w:rFonts w:ascii="Calibri" w:eastAsia="Calibri" w:hAnsi="Calibri"/>
                <w:u w:val="single"/>
              </w:rPr>
              <w:t xml:space="preserve"> finalisé</w:t>
            </w:r>
            <w:r w:rsidRPr="005B7207">
              <w:rPr>
                <w:rFonts w:ascii="Calibri" w:eastAsia="Calibri" w:hAnsi="Calibri"/>
              </w:rPr>
              <w:t>.</w:t>
            </w:r>
          </w:p>
          <w:p w:rsidR="0074607E" w:rsidRPr="00C20E31" w:rsidRDefault="0074607E" w:rsidP="005B7207">
            <w:pPr>
              <w:spacing w:before="60" w:after="60"/>
              <w:jc w:val="both"/>
              <w:rPr>
                <w:rFonts w:ascii="Calibri" w:eastAsia="Calibri" w:hAnsi="Calibri"/>
                <w:b/>
                <w:sz w:val="24"/>
              </w:rPr>
            </w:pPr>
            <w:r w:rsidRPr="005B7207">
              <w:rPr>
                <w:rFonts w:ascii="Calibri" w:eastAsia="Calibri" w:hAnsi="Calibri"/>
              </w:rPr>
              <w:t>Les surbrillances</w:t>
            </w:r>
            <w:r w:rsidR="00B35CBA" w:rsidRPr="005B7207">
              <w:rPr>
                <w:rFonts w:ascii="Calibri" w:eastAsia="Calibri" w:hAnsi="Calibri"/>
              </w:rPr>
              <w:t xml:space="preserve"> </w:t>
            </w:r>
            <w:r w:rsidR="005B7207" w:rsidRPr="005B7207">
              <w:rPr>
                <w:rFonts w:ascii="Calibri" w:eastAsia="Calibri" w:hAnsi="Calibri"/>
                <w:highlight w:val="cyan"/>
              </w:rPr>
              <w:t>bleues</w:t>
            </w:r>
            <w:r w:rsidRPr="005B7207">
              <w:rPr>
                <w:rFonts w:ascii="Calibri" w:eastAsia="Calibri" w:hAnsi="Calibri"/>
              </w:rPr>
              <w:t xml:space="preserve"> indiquent que le rédacteur </w:t>
            </w:r>
            <w:r w:rsidR="005B7207" w:rsidRPr="005B7207">
              <w:rPr>
                <w:rFonts w:ascii="Calibri" w:eastAsia="Calibri" w:hAnsi="Calibri"/>
              </w:rPr>
              <w:t xml:space="preserve">du CSC </w:t>
            </w:r>
            <w:r w:rsidRPr="005B7207">
              <w:rPr>
                <w:rFonts w:ascii="Calibri" w:eastAsia="Calibri" w:hAnsi="Calibri"/>
              </w:rPr>
              <w:t xml:space="preserve">doit effectuer un choix entre </w:t>
            </w:r>
            <w:r w:rsidR="009B3DA0" w:rsidRPr="005B7207">
              <w:rPr>
                <w:rFonts w:ascii="Calibri" w:eastAsia="Calibri" w:hAnsi="Calibri"/>
              </w:rPr>
              <w:t>plusieurs</w:t>
            </w:r>
            <w:r w:rsidRPr="005B7207">
              <w:rPr>
                <w:rFonts w:ascii="Calibri" w:eastAsia="Calibri" w:hAnsi="Calibri"/>
              </w:rPr>
              <w:t xml:space="preserve"> écritures.</w:t>
            </w:r>
            <w:r w:rsidR="005B7207" w:rsidRPr="005B7207">
              <w:rPr>
                <w:rFonts w:ascii="Calibri" w:eastAsia="Calibri" w:hAnsi="Calibri"/>
              </w:rPr>
              <w:t xml:space="preserve"> </w:t>
            </w:r>
            <w:r w:rsidR="005B7207" w:rsidRPr="005B7207">
              <w:rPr>
                <w:rFonts w:ascii="Calibri" w:eastAsia="Calibri" w:hAnsi="Calibri"/>
                <w:u w:val="single"/>
              </w:rPr>
              <w:t xml:space="preserve">La/les mention(s) non choisie(s) doit/doivent être supprimée(s) de votre </w:t>
            </w:r>
            <w:r w:rsidR="007168EF">
              <w:rPr>
                <w:rFonts w:ascii="Calibri" w:eastAsia="Calibri" w:hAnsi="Calibri"/>
                <w:u w:val="single"/>
              </w:rPr>
              <w:t>descriptif de marché</w:t>
            </w:r>
            <w:r w:rsidR="007168EF" w:rsidRPr="005B7207">
              <w:rPr>
                <w:rFonts w:ascii="Calibri" w:eastAsia="Calibri" w:hAnsi="Calibri"/>
                <w:u w:val="single"/>
              </w:rPr>
              <w:t xml:space="preserve"> finalisé</w:t>
            </w:r>
            <w:r w:rsidR="005B7207" w:rsidRPr="005B7207">
              <w:rPr>
                <w:rFonts w:ascii="Calibri" w:eastAsia="Calibri" w:hAnsi="Calibri"/>
              </w:rPr>
              <w:t>.</w:t>
            </w:r>
          </w:p>
        </w:tc>
      </w:tr>
    </w:tbl>
    <w:p w:rsidR="0074607E" w:rsidRPr="0074607E" w:rsidRDefault="0074607E" w:rsidP="0074607E">
      <w:pPr>
        <w:spacing w:before="60" w:after="60"/>
        <w:jc w:val="both"/>
        <w:rPr>
          <w:b/>
          <w:i/>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rsidR="0074607E" w:rsidRPr="00C20E31" w:rsidTr="00C20E31">
        <w:tc>
          <w:tcPr>
            <w:tcW w:w="9212" w:type="dxa"/>
          </w:tcPr>
          <w:p w:rsidR="0074607E" w:rsidRPr="00C20E31" w:rsidRDefault="0074607E" w:rsidP="00C20E31">
            <w:pPr>
              <w:pStyle w:val="Sansinterligne"/>
              <w:jc w:val="right"/>
              <w:rPr>
                <w:rFonts w:cs="Arial"/>
                <w:b/>
                <w:smallCaps/>
                <w:sz w:val="26"/>
                <w:szCs w:val="26"/>
              </w:rPr>
            </w:pPr>
            <w:r w:rsidRPr="00C20E31">
              <w:rPr>
                <w:rFonts w:ascii="Tahoma" w:hAnsi="Tahoma"/>
              </w:rPr>
              <w:t xml:space="preserve"> </w:t>
            </w:r>
            <w:r w:rsidRPr="00C20E31">
              <w:rPr>
                <w:rFonts w:cs="Arial"/>
                <w:b/>
                <w:smallCaps/>
                <w:sz w:val="26"/>
                <w:szCs w:val="26"/>
              </w:rPr>
              <w:t>Service Public de Wallonie</w:t>
            </w:r>
          </w:p>
          <w:p w:rsidR="0074607E" w:rsidRPr="00C20E31" w:rsidRDefault="0074607E" w:rsidP="00C20E31">
            <w:pPr>
              <w:pStyle w:val="Sansinterligne"/>
              <w:jc w:val="right"/>
              <w:rPr>
                <w:rFonts w:cs="Arial"/>
                <w:b/>
                <w:smallCaps/>
                <w:sz w:val="26"/>
                <w:szCs w:val="26"/>
              </w:rPr>
            </w:pPr>
            <w:r w:rsidRPr="00C20E31">
              <w:rPr>
                <w:rFonts w:cs="Arial"/>
                <w:b/>
                <w:smallCaps/>
                <w:sz w:val="26"/>
                <w:szCs w:val="26"/>
              </w:rPr>
              <w:t xml:space="preserve">Département de </w:t>
            </w:r>
            <w:r w:rsidRPr="00F07A92">
              <w:rPr>
                <w:rFonts w:cs="Arial"/>
                <w:b/>
                <w:bCs/>
                <w:color w:val="000000"/>
                <w:sz w:val="20"/>
                <w:szCs w:val="20"/>
                <w:highlight w:val="yellow"/>
              </w:rPr>
              <w:t>[à compléter]</w:t>
            </w:r>
          </w:p>
          <w:p w:rsidR="0074607E" w:rsidRPr="00C20E31" w:rsidRDefault="0074607E" w:rsidP="00C20E31">
            <w:pPr>
              <w:pStyle w:val="Sansinterligne"/>
              <w:jc w:val="right"/>
              <w:rPr>
                <w:rFonts w:cs="Arial"/>
                <w:b/>
                <w:smallCaps/>
                <w:sz w:val="26"/>
                <w:szCs w:val="26"/>
              </w:rPr>
            </w:pPr>
            <w:r w:rsidRPr="00C20E31">
              <w:rPr>
                <w:rFonts w:cs="Arial"/>
                <w:b/>
                <w:smallCaps/>
                <w:sz w:val="26"/>
                <w:szCs w:val="26"/>
              </w:rPr>
              <w:t xml:space="preserve">Direction </w:t>
            </w:r>
            <w:r w:rsidRPr="00F07A92">
              <w:rPr>
                <w:rFonts w:cs="Arial"/>
                <w:b/>
                <w:bCs/>
                <w:color w:val="000000"/>
                <w:sz w:val="20"/>
                <w:szCs w:val="20"/>
                <w:highlight w:val="yellow"/>
              </w:rPr>
              <w:t>[à compléter]</w:t>
            </w:r>
            <w:r w:rsidRPr="00C20E31">
              <w:rPr>
                <w:rFonts w:cs="Arial"/>
                <w:b/>
                <w:smallCaps/>
                <w:sz w:val="26"/>
                <w:szCs w:val="26"/>
              </w:rPr>
              <w:t xml:space="preserve"> </w:t>
            </w:r>
          </w:p>
          <w:p w:rsidR="0074607E" w:rsidRPr="00C20E31" w:rsidRDefault="0074607E" w:rsidP="00C20E31">
            <w:pPr>
              <w:pStyle w:val="Sansinterligne"/>
              <w:jc w:val="right"/>
              <w:rPr>
                <w:rFonts w:cs="Arial"/>
                <w:b/>
                <w:smallCaps/>
                <w:sz w:val="26"/>
                <w:szCs w:val="26"/>
              </w:rPr>
            </w:pPr>
          </w:p>
          <w:p w:rsidR="0074607E" w:rsidRPr="00C20E31" w:rsidRDefault="0074607E" w:rsidP="00C20E31">
            <w:pPr>
              <w:pStyle w:val="Sansinterligne"/>
              <w:jc w:val="center"/>
              <w:rPr>
                <w:rFonts w:cs="Arial"/>
                <w:b/>
                <w:smallCaps/>
                <w:sz w:val="26"/>
                <w:szCs w:val="26"/>
              </w:rPr>
            </w:pPr>
            <w:r w:rsidRPr="00C20E31">
              <w:rPr>
                <w:rFonts w:cs="Arial"/>
                <w:b/>
                <w:smallCaps/>
                <w:sz w:val="26"/>
                <w:szCs w:val="26"/>
              </w:rPr>
              <w:t>Descripti</w:t>
            </w:r>
            <w:r w:rsidR="0023230D">
              <w:rPr>
                <w:rFonts w:cs="Arial"/>
                <w:b/>
                <w:smallCaps/>
                <w:sz w:val="26"/>
                <w:szCs w:val="26"/>
              </w:rPr>
              <w:t>f</w:t>
            </w:r>
            <w:r w:rsidRPr="00C20E31">
              <w:rPr>
                <w:rFonts w:cs="Arial"/>
                <w:b/>
                <w:smallCaps/>
                <w:sz w:val="26"/>
                <w:szCs w:val="26"/>
              </w:rPr>
              <w:t xml:space="preserve"> de marché visant à désigner un avocat</w:t>
            </w:r>
          </w:p>
          <w:p w:rsidR="009B3DA0" w:rsidRPr="00C20E31" w:rsidRDefault="009B3DA0" w:rsidP="00C20E31">
            <w:pPr>
              <w:pStyle w:val="Sansinterligne"/>
              <w:jc w:val="center"/>
              <w:rPr>
                <w:rFonts w:cs="Arial"/>
                <w:b/>
                <w:smallCaps/>
                <w:sz w:val="26"/>
                <w:szCs w:val="26"/>
              </w:rPr>
            </w:pPr>
            <w:r w:rsidRPr="00C20E31">
              <w:rPr>
                <w:rFonts w:cs="Arial"/>
                <w:b/>
                <w:smallCaps/>
                <w:sz w:val="26"/>
                <w:szCs w:val="26"/>
              </w:rPr>
              <w:t xml:space="preserve">n° </w:t>
            </w:r>
            <w:r w:rsidRPr="00F07A92">
              <w:rPr>
                <w:rFonts w:cs="Arial"/>
                <w:b/>
                <w:bCs/>
                <w:color w:val="000000"/>
                <w:sz w:val="20"/>
                <w:szCs w:val="20"/>
                <w:highlight w:val="yellow"/>
              </w:rPr>
              <w:t>[à compléter]</w:t>
            </w:r>
          </w:p>
          <w:p w:rsidR="009B3DA0" w:rsidRDefault="009B3DA0" w:rsidP="00BD568B">
            <w:pPr>
              <w:pStyle w:val="Sansinterligne"/>
              <w:jc w:val="center"/>
              <w:rPr>
                <w:sz w:val="20"/>
                <w:szCs w:val="20"/>
              </w:rPr>
            </w:pPr>
            <w:r w:rsidRPr="00361EEA">
              <w:rPr>
                <w:sz w:val="20"/>
                <w:szCs w:val="20"/>
                <w:highlight w:val="lightGray"/>
              </w:rPr>
              <w:t xml:space="preserve">Un numéro de marché doit être attribué à chaque marché public. Ce numéro est attribué sur demande adressée par courriel à </w:t>
            </w:r>
            <w:hyperlink r:id="rId8" w:history="1">
              <w:r w:rsidRPr="00361EEA">
                <w:rPr>
                  <w:rStyle w:val="Lienhypertexte"/>
                  <w:sz w:val="20"/>
                  <w:szCs w:val="20"/>
                  <w:highlight w:val="lightGray"/>
                </w:rPr>
                <w:t>support.simppa@spw.wallonie.be</w:t>
              </w:r>
            </w:hyperlink>
          </w:p>
          <w:p w:rsidR="00BD568B" w:rsidRPr="00BD568B" w:rsidRDefault="00BD568B" w:rsidP="00BD568B">
            <w:pPr>
              <w:pStyle w:val="Sansinterligne"/>
              <w:jc w:val="center"/>
              <w:rPr>
                <w:sz w:val="20"/>
                <w:szCs w:val="20"/>
              </w:rPr>
            </w:pPr>
          </w:p>
        </w:tc>
      </w:tr>
    </w:tbl>
    <w:p w:rsidR="0074607E" w:rsidRPr="009B3DA0" w:rsidRDefault="0074607E" w:rsidP="0074607E">
      <w:pPr>
        <w:pStyle w:val="Sansinterligne"/>
        <w:jc w:val="right"/>
        <w:rPr>
          <w:rFonts w:cs="Arial"/>
          <w:b/>
          <w:smallCaps/>
          <w:sz w:val="26"/>
          <w:szCs w:val="26"/>
        </w:rPr>
      </w:pPr>
    </w:p>
    <w:p w:rsidR="0074607E" w:rsidRPr="00361EEA" w:rsidRDefault="0074607E" w:rsidP="0074607E">
      <w:pPr>
        <w:spacing w:before="60" w:after="60"/>
        <w:jc w:val="both"/>
        <w:rPr>
          <w:rFonts w:ascii="Calibri" w:hAnsi="Calibri"/>
          <w:highlight w:val="lightGray"/>
        </w:rPr>
      </w:pPr>
      <w:r w:rsidRPr="00361EEA">
        <w:rPr>
          <w:rFonts w:ascii="Calibri" w:hAnsi="Calibri"/>
          <w:highlight w:val="lightGray"/>
        </w:rPr>
        <w:t>Ce modèle de descripti</w:t>
      </w:r>
      <w:r w:rsidR="00C65FBE">
        <w:rPr>
          <w:rFonts w:ascii="Calibri" w:hAnsi="Calibri"/>
          <w:highlight w:val="lightGray"/>
        </w:rPr>
        <w:t>f</w:t>
      </w:r>
      <w:r w:rsidRPr="00361EEA">
        <w:rPr>
          <w:rFonts w:ascii="Calibri" w:hAnsi="Calibri"/>
          <w:highlight w:val="lightGray"/>
        </w:rPr>
        <w:t xml:space="preserve"> de marché est adéquat pour les marchés portant sur :</w:t>
      </w:r>
    </w:p>
    <w:p w:rsidR="0074607E" w:rsidRDefault="0074607E" w:rsidP="0074607E">
      <w:pPr>
        <w:numPr>
          <w:ilvl w:val="0"/>
          <w:numId w:val="2"/>
        </w:numPr>
        <w:tabs>
          <w:tab w:val="left" w:pos="851"/>
        </w:tabs>
        <w:spacing w:before="60" w:after="60"/>
        <w:ind w:left="851" w:hanging="425"/>
        <w:jc w:val="both"/>
        <w:rPr>
          <w:rFonts w:ascii="Calibri" w:hAnsi="Calibri"/>
          <w:highlight w:val="lightGray"/>
        </w:rPr>
      </w:pPr>
      <w:r w:rsidRPr="00361EEA">
        <w:rPr>
          <w:rFonts w:ascii="Calibri" w:hAnsi="Calibri"/>
          <w:highlight w:val="lightGray"/>
        </w:rPr>
        <w:t>des services juridiques exclus du champ d’application de la loi marché public du 17/06/2016 en vertu de son article 28, §1, al.1</w:t>
      </w:r>
      <w:r w:rsidRPr="00361EEA">
        <w:rPr>
          <w:rFonts w:ascii="Calibri" w:hAnsi="Calibri"/>
          <w:highlight w:val="lightGray"/>
          <w:vertAlign w:val="superscript"/>
        </w:rPr>
        <w:t>er</w:t>
      </w:r>
      <w:r w:rsidRPr="00361EEA">
        <w:rPr>
          <w:rFonts w:ascii="Calibri" w:hAnsi="Calibri"/>
          <w:highlight w:val="lightGray"/>
        </w:rPr>
        <w:t>, 4° (à savoir</w:t>
      </w:r>
      <w:r w:rsidR="001349D7" w:rsidRPr="00361EEA">
        <w:rPr>
          <w:rFonts w:ascii="Calibri" w:hAnsi="Calibri"/>
          <w:highlight w:val="lightGray"/>
        </w:rPr>
        <w:t> :</w:t>
      </w:r>
      <w:r w:rsidRPr="00361EEA">
        <w:rPr>
          <w:rFonts w:ascii="Calibri" w:hAnsi="Calibri"/>
          <w:highlight w:val="lightGray"/>
        </w:rPr>
        <w:t xml:space="preserve"> la représentation légale et le conseil juridique dans le cadre d’une procédure contentieuse que ce soit devant les juridictions/les autorités publiques d’un état ou les juridictions/institutions internationales + le conseil juridique fourni en préparation d’une procédure contentieuse ou lorsqu’il existe des signes tangibles et de fortes probabilités selon lesquels la question sur laquelle porte le conseil fera l’objet d’une telle procédure - le lien avec un contentieux à venir ne peut to</w:t>
      </w:r>
      <w:r w:rsidR="00361EEA">
        <w:rPr>
          <w:rFonts w:ascii="Calibri" w:hAnsi="Calibri"/>
          <w:highlight w:val="lightGray"/>
        </w:rPr>
        <w:t>utefois pas être hypothétique)</w:t>
      </w:r>
    </w:p>
    <w:p w:rsidR="00361EEA" w:rsidRPr="00361EEA" w:rsidRDefault="00361EEA" w:rsidP="00361EEA">
      <w:pPr>
        <w:tabs>
          <w:tab w:val="left" w:pos="851"/>
        </w:tabs>
        <w:spacing w:before="60" w:after="60"/>
        <w:ind w:left="851"/>
        <w:jc w:val="both"/>
        <w:rPr>
          <w:rFonts w:ascii="Calibri" w:hAnsi="Calibri"/>
          <w:b/>
          <w:highlight w:val="lightGray"/>
        </w:rPr>
      </w:pPr>
      <w:r w:rsidRPr="00361EEA">
        <w:rPr>
          <w:rFonts w:ascii="Calibri" w:hAnsi="Calibri"/>
          <w:b/>
          <w:highlight w:val="lightGray"/>
        </w:rPr>
        <w:t>→ Ce modèle est donc adéquat pour les marchés de gestion de contentieux</w:t>
      </w:r>
      <w:r>
        <w:rPr>
          <w:rFonts w:ascii="Calibri" w:hAnsi="Calibri"/>
          <w:b/>
          <w:highlight w:val="lightGray"/>
        </w:rPr>
        <w:t xml:space="preserve"> quel que soit le montant estimé de ces marchés.</w:t>
      </w:r>
    </w:p>
    <w:p w:rsidR="0074607E" w:rsidRPr="00361EEA" w:rsidRDefault="001349D7" w:rsidP="0074607E">
      <w:pPr>
        <w:numPr>
          <w:ilvl w:val="0"/>
          <w:numId w:val="2"/>
        </w:numPr>
        <w:tabs>
          <w:tab w:val="left" w:pos="851"/>
        </w:tabs>
        <w:spacing w:before="60" w:after="60"/>
        <w:ind w:left="851" w:hanging="425"/>
        <w:jc w:val="both"/>
        <w:rPr>
          <w:rFonts w:ascii="Calibri" w:hAnsi="Calibri"/>
          <w:highlight w:val="lightGray"/>
        </w:rPr>
      </w:pPr>
      <w:r w:rsidRPr="00361EEA">
        <w:rPr>
          <w:rFonts w:ascii="Calibri" w:hAnsi="Calibri"/>
          <w:highlight w:val="lightGray"/>
        </w:rPr>
        <w:t>des services juridiques non exclus du champ d’application de la loi marché public du 17/06/2016 en vertu de son article 28, §1, al.1</w:t>
      </w:r>
      <w:r w:rsidRPr="00361EEA">
        <w:rPr>
          <w:rFonts w:ascii="Calibri" w:hAnsi="Calibri"/>
          <w:highlight w:val="lightGray"/>
          <w:vertAlign w:val="superscript"/>
        </w:rPr>
        <w:t>er</w:t>
      </w:r>
      <w:r w:rsidRPr="00361EEA">
        <w:rPr>
          <w:rFonts w:ascii="Calibri" w:hAnsi="Calibri"/>
          <w:highlight w:val="lightGray"/>
        </w:rPr>
        <w:t xml:space="preserve">, 4° (à savoir : </w:t>
      </w:r>
      <w:r w:rsidR="0074607E" w:rsidRPr="00361EEA">
        <w:rPr>
          <w:rFonts w:ascii="Calibri" w:hAnsi="Calibri"/>
          <w:highlight w:val="lightGray"/>
        </w:rPr>
        <w:t>le conseil juridique en dehors d</w:t>
      </w:r>
      <w:r w:rsidRPr="00361EEA">
        <w:rPr>
          <w:rFonts w:ascii="Calibri" w:hAnsi="Calibri"/>
          <w:highlight w:val="lightGray"/>
        </w:rPr>
        <w:t>e toute procédure contentieuse ou précontentieuse)</w:t>
      </w:r>
      <w:r w:rsidR="0074607E" w:rsidRPr="00361EEA">
        <w:rPr>
          <w:rFonts w:ascii="Calibri" w:hAnsi="Calibri"/>
          <w:highlight w:val="lightGray"/>
        </w:rPr>
        <w:t>, pour autant que le montant estimé du marché soit inférieur à 30.000 euros.</w:t>
      </w:r>
    </w:p>
    <w:p w:rsidR="00D44874" w:rsidRPr="008A6909" w:rsidRDefault="00361EEA" w:rsidP="00361EEA">
      <w:pPr>
        <w:ind w:left="851"/>
        <w:jc w:val="both"/>
        <w:rPr>
          <w:rFonts w:ascii="Calibri" w:hAnsi="Calibri"/>
          <w:b/>
          <w:highlight w:val="lightGray"/>
        </w:rPr>
      </w:pPr>
      <w:r w:rsidRPr="008A6909">
        <w:rPr>
          <w:rFonts w:ascii="Calibri" w:hAnsi="Calibri"/>
          <w:b/>
          <w:highlight w:val="lightGray"/>
        </w:rPr>
        <w:t>→Ce modèle est donc adéquat pour les marchés de consultance juridique</w:t>
      </w:r>
      <w:r w:rsidR="008A6909" w:rsidRPr="008A6909">
        <w:rPr>
          <w:rFonts w:ascii="Calibri" w:hAnsi="Calibri"/>
          <w:b/>
          <w:highlight w:val="lightGray"/>
        </w:rPr>
        <w:t xml:space="preserve"> dont le montant estimé est &lt; 30.000 euros htva.</w:t>
      </w:r>
    </w:p>
    <w:p w:rsidR="008A6909" w:rsidRDefault="008A6909">
      <w:pPr>
        <w:jc w:val="both"/>
        <w:rPr>
          <w:rFonts w:ascii="Calibri" w:hAnsi="Calibri" w:cs="Arial"/>
          <w:b/>
          <w:bCs/>
          <w:color w:val="000000"/>
          <w:sz w:val="22"/>
          <w:szCs w:val="22"/>
        </w:rPr>
      </w:pPr>
    </w:p>
    <w:p w:rsidR="008A6909" w:rsidRDefault="008A6909">
      <w:pPr>
        <w:jc w:val="both"/>
        <w:rPr>
          <w:rFonts w:ascii="Calibri" w:hAnsi="Calibri" w:cs="Arial"/>
          <w:b/>
          <w:bCs/>
          <w:color w:val="000000"/>
          <w:sz w:val="22"/>
          <w:szCs w:val="22"/>
        </w:rPr>
      </w:pPr>
    </w:p>
    <w:p w:rsidR="008748C7" w:rsidRPr="008748C7" w:rsidRDefault="008748C7">
      <w:pPr>
        <w:jc w:val="both"/>
        <w:rPr>
          <w:rFonts w:ascii="Calibri" w:hAnsi="Calibri" w:cs="Arial"/>
          <w:b/>
          <w:bCs/>
          <w:color w:val="000000"/>
          <w:sz w:val="22"/>
          <w:szCs w:val="22"/>
        </w:rPr>
      </w:pPr>
      <w:r w:rsidRPr="008748C7">
        <w:rPr>
          <w:rFonts w:ascii="Calibri" w:hAnsi="Calibri" w:cs="Arial"/>
          <w:b/>
          <w:bCs/>
          <w:color w:val="000000"/>
          <w:sz w:val="22"/>
          <w:szCs w:val="22"/>
        </w:rPr>
        <w:t>Pouvoir adjudicateur</w:t>
      </w:r>
    </w:p>
    <w:p w:rsidR="008748C7" w:rsidRDefault="008748C7" w:rsidP="008748C7">
      <w:pPr>
        <w:pBdr>
          <w:bottom w:val="single" w:sz="4" w:space="1" w:color="auto"/>
        </w:pBdr>
        <w:jc w:val="both"/>
        <w:rPr>
          <w:rFonts w:ascii="Calibri" w:hAnsi="Calibri" w:cs="Arial"/>
          <w:bCs/>
          <w:color w:val="000000"/>
          <w:sz w:val="22"/>
          <w:szCs w:val="22"/>
        </w:rPr>
      </w:pPr>
    </w:p>
    <w:p w:rsidR="008748C7" w:rsidRDefault="008748C7">
      <w:pPr>
        <w:jc w:val="both"/>
        <w:rPr>
          <w:rFonts w:ascii="Tahoma" w:hAnsi="Tahoma"/>
          <w:sz w:val="22"/>
          <w:lang w:val="fr-BE"/>
        </w:rPr>
      </w:pPr>
    </w:p>
    <w:p w:rsidR="008748C7" w:rsidRDefault="008748C7">
      <w:pPr>
        <w:jc w:val="both"/>
        <w:rPr>
          <w:rFonts w:ascii="Calibri" w:hAnsi="Calibri" w:cs="Arial"/>
          <w:bCs/>
          <w:color w:val="000000"/>
        </w:rPr>
      </w:pPr>
      <w:r>
        <w:rPr>
          <w:rFonts w:ascii="Calibri" w:hAnsi="Calibri" w:cs="Arial"/>
          <w:bCs/>
          <w:color w:val="000000"/>
        </w:rPr>
        <w:t>Les prestations détaillées ci-après sont commandées par l</w:t>
      </w:r>
      <w:r w:rsidRPr="00C31303">
        <w:rPr>
          <w:rFonts w:ascii="Calibri" w:hAnsi="Calibri" w:cs="Arial"/>
          <w:bCs/>
          <w:color w:val="000000"/>
        </w:rPr>
        <w:t xml:space="preserve">a Région wallonne </w:t>
      </w:r>
      <w:r>
        <w:rPr>
          <w:rFonts w:ascii="Calibri" w:hAnsi="Calibri" w:cs="Arial"/>
          <w:bCs/>
          <w:color w:val="000000"/>
        </w:rPr>
        <w:t xml:space="preserve">représentée par son Gouvernement, en la personne de </w:t>
      </w:r>
      <w:r w:rsidRPr="000268B3">
        <w:rPr>
          <w:rFonts w:ascii="Calibri" w:hAnsi="Calibri" w:cs="Arial"/>
          <w:bCs/>
          <w:color w:val="000000"/>
          <w:highlight w:val="yellow"/>
        </w:rPr>
        <w:t>[à compléter]</w:t>
      </w:r>
      <w:r>
        <w:rPr>
          <w:rFonts w:ascii="Calibri" w:hAnsi="Calibri" w:cs="Arial"/>
          <w:bCs/>
          <w:color w:val="000000"/>
        </w:rPr>
        <w:t xml:space="preserve">, Ministre de </w:t>
      </w:r>
      <w:r w:rsidRPr="000268B3">
        <w:rPr>
          <w:rFonts w:ascii="Calibri" w:hAnsi="Calibri" w:cs="Arial"/>
          <w:bCs/>
          <w:color w:val="000000"/>
          <w:highlight w:val="yellow"/>
        </w:rPr>
        <w:t>[à compléter]</w:t>
      </w:r>
      <w:r>
        <w:rPr>
          <w:rFonts w:ascii="Calibri" w:hAnsi="Calibri" w:cs="Arial"/>
          <w:bCs/>
          <w:color w:val="000000"/>
        </w:rPr>
        <w:t xml:space="preserve"> via la Direction générale </w:t>
      </w:r>
      <w:r w:rsidRPr="000268B3">
        <w:rPr>
          <w:rFonts w:ascii="Calibri" w:hAnsi="Calibri" w:cs="Arial"/>
          <w:bCs/>
          <w:color w:val="000000"/>
          <w:highlight w:val="yellow"/>
        </w:rPr>
        <w:t>[à compléter]</w:t>
      </w:r>
      <w:r>
        <w:rPr>
          <w:rFonts w:ascii="Calibri" w:hAnsi="Calibri" w:cs="Arial"/>
          <w:bCs/>
          <w:color w:val="000000"/>
        </w:rPr>
        <w:t xml:space="preserve"> - Département </w:t>
      </w:r>
      <w:r w:rsidRPr="000268B3">
        <w:rPr>
          <w:rFonts w:ascii="Calibri" w:hAnsi="Calibri" w:cs="Arial"/>
          <w:bCs/>
          <w:color w:val="000000"/>
          <w:highlight w:val="yellow"/>
        </w:rPr>
        <w:t>[à compléter]</w:t>
      </w:r>
      <w:r>
        <w:rPr>
          <w:rFonts w:ascii="Calibri" w:hAnsi="Calibri" w:cs="Arial"/>
          <w:bCs/>
          <w:color w:val="000000"/>
        </w:rPr>
        <w:t xml:space="preserve"> - Direction </w:t>
      </w:r>
      <w:r w:rsidRPr="000268B3">
        <w:rPr>
          <w:rFonts w:ascii="Calibri" w:hAnsi="Calibri" w:cs="Arial"/>
          <w:bCs/>
          <w:color w:val="000000"/>
          <w:highlight w:val="yellow"/>
        </w:rPr>
        <w:t>[à compléter]</w:t>
      </w:r>
      <w:r>
        <w:rPr>
          <w:rFonts w:ascii="Calibri" w:hAnsi="Calibri" w:cs="Arial"/>
          <w:bCs/>
          <w:color w:val="000000"/>
        </w:rPr>
        <w:t>.</w:t>
      </w:r>
    </w:p>
    <w:p w:rsidR="008748C7" w:rsidRDefault="008748C7">
      <w:pPr>
        <w:jc w:val="both"/>
        <w:rPr>
          <w:rFonts w:ascii="Calibri" w:hAnsi="Calibri" w:cs="Arial"/>
          <w:bCs/>
          <w:color w:val="000000"/>
          <w:sz w:val="22"/>
          <w:szCs w:val="22"/>
        </w:rPr>
      </w:pPr>
    </w:p>
    <w:p w:rsidR="008748C7" w:rsidRPr="008748C7" w:rsidRDefault="008748C7">
      <w:pPr>
        <w:jc w:val="both"/>
        <w:rPr>
          <w:rFonts w:ascii="Calibri" w:hAnsi="Calibri" w:cs="Arial"/>
          <w:b/>
          <w:bCs/>
          <w:color w:val="000000"/>
          <w:sz w:val="22"/>
          <w:szCs w:val="22"/>
        </w:rPr>
      </w:pPr>
      <w:r w:rsidRPr="008748C7">
        <w:rPr>
          <w:rFonts w:ascii="Calibri" w:hAnsi="Calibri" w:cs="Arial"/>
          <w:b/>
          <w:bCs/>
          <w:color w:val="000000"/>
          <w:sz w:val="22"/>
          <w:szCs w:val="22"/>
        </w:rPr>
        <w:t>Renseignements</w:t>
      </w:r>
    </w:p>
    <w:p w:rsidR="008748C7" w:rsidRDefault="008748C7" w:rsidP="008748C7">
      <w:pPr>
        <w:pBdr>
          <w:bottom w:val="single" w:sz="4" w:space="1" w:color="auto"/>
        </w:pBdr>
        <w:jc w:val="both"/>
        <w:rPr>
          <w:rFonts w:ascii="Tahoma" w:hAnsi="Tahoma"/>
          <w:sz w:val="22"/>
          <w:lang w:val="fr-BE"/>
        </w:rPr>
      </w:pPr>
    </w:p>
    <w:p w:rsidR="008748C7" w:rsidRDefault="008748C7">
      <w:pPr>
        <w:jc w:val="both"/>
        <w:rPr>
          <w:rFonts w:ascii="Calibri" w:hAnsi="Calibri" w:cs="Arial"/>
          <w:color w:val="000000"/>
        </w:rPr>
      </w:pPr>
    </w:p>
    <w:p w:rsidR="008748C7" w:rsidRDefault="008748C7">
      <w:pPr>
        <w:jc w:val="both"/>
        <w:rPr>
          <w:rFonts w:ascii="Calibri" w:hAnsi="Calibri" w:cs="Arial"/>
          <w:bCs/>
          <w:color w:val="000000"/>
        </w:rPr>
      </w:pPr>
      <w:r>
        <w:rPr>
          <w:rFonts w:ascii="Calibri" w:hAnsi="Calibri" w:cs="Arial"/>
          <w:color w:val="000000"/>
        </w:rPr>
        <w:t>La personne de contact pour toute information complémentaire est </w:t>
      </w:r>
      <w:r w:rsidRPr="000268B3">
        <w:rPr>
          <w:rFonts w:ascii="Calibri" w:hAnsi="Calibri" w:cs="Arial"/>
          <w:bCs/>
          <w:color w:val="000000"/>
          <w:highlight w:val="yellow"/>
        </w:rPr>
        <w:t>[à compléter</w:t>
      </w:r>
      <w:r>
        <w:rPr>
          <w:rFonts w:ascii="Calibri" w:hAnsi="Calibri" w:cs="Arial"/>
          <w:bCs/>
          <w:color w:val="000000"/>
          <w:highlight w:val="yellow"/>
        </w:rPr>
        <w:t xml:space="preserve"> par nom, prénom et courriel</w:t>
      </w:r>
      <w:r w:rsidRPr="000268B3">
        <w:rPr>
          <w:rFonts w:ascii="Calibri" w:hAnsi="Calibri" w:cs="Arial"/>
          <w:bCs/>
          <w:color w:val="000000"/>
          <w:highlight w:val="yellow"/>
        </w:rPr>
        <w:t>]</w:t>
      </w:r>
      <w:r>
        <w:rPr>
          <w:rFonts w:ascii="Calibri" w:hAnsi="Calibri" w:cs="Arial"/>
          <w:bCs/>
          <w:color w:val="000000"/>
        </w:rPr>
        <w:t>.</w:t>
      </w:r>
    </w:p>
    <w:p w:rsidR="008748C7" w:rsidRDefault="008748C7">
      <w:pPr>
        <w:jc w:val="both"/>
        <w:rPr>
          <w:rFonts w:ascii="Tahoma" w:hAnsi="Tahoma"/>
          <w:sz w:val="22"/>
          <w:lang w:val="fr-BE"/>
        </w:rPr>
      </w:pPr>
    </w:p>
    <w:p w:rsidR="008748C7" w:rsidRPr="008748C7" w:rsidRDefault="008748C7">
      <w:pPr>
        <w:jc w:val="both"/>
        <w:rPr>
          <w:rFonts w:ascii="Calibri" w:hAnsi="Calibri" w:cs="Arial"/>
          <w:b/>
          <w:bCs/>
          <w:color w:val="000000"/>
          <w:sz w:val="22"/>
          <w:szCs w:val="22"/>
        </w:rPr>
      </w:pPr>
      <w:r w:rsidRPr="008748C7">
        <w:rPr>
          <w:rFonts w:ascii="Calibri" w:hAnsi="Calibri" w:cs="Arial"/>
          <w:b/>
          <w:bCs/>
          <w:color w:val="000000"/>
          <w:sz w:val="22"/>
          <w:szCs w:val="22"/>
        </w:rPr>
        <w:t>Bases légales</w:t>
      </w:r>
    </w:p>
    <w:p w:rsidR="008748C7" w:rsidRDefault="008748C7" w:rsidP="008748C7">
      <w:pPr>
        <w:pBdr>
          <w:bottom w:val="single" w:sz="4" w:space="1" w:color="auto"/>
        </w:pBdr>
        <w:jc w:val="both"/>
        <w:rPr>
          <w:rFonts w:ascii="Calibri" w:hAnsi="Calibri" w:cs="Arial"/>
          <w:bCs/>
          <w:color w:val="000000"/>
          <w:sz w:val="22"/>
          <w:szCs w:val="22"/>
        </w:rPr>
      </w:pPr>
    </w:p>
    <w:p w:rsidR="008748C7" w:rsidRDefault="008748C7" w:rsidP="008748C7">
      <w:pPr>
        <w:ind w:right="33"/>
        <w:jc w:val="both"/>
        <w:rPr>
          <w:rFonts w:ascii="Calibri" w:hAnsi="Calibri" w:cs="Arial"/>
          <w:color w:val="000000"/>
          <w:highlight w:val="re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A86068" w:rsidRPr="007A52ED" w:rsidTr="007A52ED">
        <w:tc>
          <w:tcPr>
            <w:tcW w:w="9104" w:type="dxa"/>
          </w:tcPr>
          <w:p w:rsidR="00C943F2" w:rsidRPr="007A52ED" w:rsidRDefault="00C943F2" w:rsidP="007A52ED">
            <w:pPr>
              <w:ind w:right="33"/>
              <w:jc w:val="both"/>
              <w:rPr>
                <w:rFonts w:ascii="Calibri" w:eastAsia="Calibri" w:hAnsi="Calibri" w:cs="Arial"/>
                <w:color w:val="000000"/>
              </w:rPr>
            </w:pPr>
            <w:r w:rsidRPr="007A52ED">
              <w:rPr>
                <w:rFonts w:ascii="Calibri" w:eastAsia="Calibri" w:hAnsi="Calibri" w:cs="Arial"/>
                <w:color w:val="000000"/>
                <w:highlight w:val="cyan"/>
              </w:rPr>
              <w:t>A)</w:t>
            </w:r>
            <w:r w:rsidRPr="007A52ED">
              <w:rPr>
                <w:rFonts w:ascii="Calibri" w:eastAsia="Calibri" w:hAnsi="Calibri" w:cs="Arial"/>
                <w:color w:val="000000"/>
                <w:highlight w:val="lightGray"/>
              </w:rPr>
              <w:t xml:space="preserve"> Choisissez A) s’il s’agit d’un marché portant sur du contentieux.</w:t>
            </w:r>
          </w:p>
          <w:p w:rsidR="00A86068" w:rsidRPr="007A52ED" w:rsidRDefault="00A86068" w:rsidP="007A52ED">
            <w:pPr>
              <w:ind w:right="33"/>
              <w:jc w:val="both"/>
              <w:rPr>
                <w:rFonts w:ascii="Calibri" w:eastAsia="Calibri" w:hAnsi="Calibri" w:cs="Arial"/>
                <w:color w:val="000000"/>
              </w:rPr>
            </w:pPr>
            <w:r w:rsidRPr="007A52ED">
              <w:rPr>
                <w:rFonts w:ascii="Calibri" w:eastAsia="Calibri" w:hAnsi="Calibri" w:cs="Arial"/>
                <w:color w:val="000000"/>
              </w:rPr>
              <w:t>Art. 28, §1</w:t>
            </w:r>
            <w:r w:rsidRPr="007A52ED">
              <w:rPr>
                <w:rFonts w:ascii="Calibri" w:eastAsia="Calibri" w:hAnsi="Calibri" w:cs="Arial"/>
                <w:color w:val="000000"/>
                <w:vertAlign w:val="superscript"/>
              </w:rPr>
              <w:t>er</w:t>
            </w:r>
            <w:r w:rsidRPr="007A52ED">
              <w:rPr>
                <w:rFonts w:ascii="Calibri" w:eastAsia="Calibri" w:hAnsi="Calibri" w:cs="Arial"/>
                <w:color w:val="000000"/>
              </w:rPr>
              <w:t>, al.1</w:t>
            </w:r>
            <w:r w:rsidRPr="007A52ED">
              <w:rPr>
                <w:rFonts w:ascii="Calibri" w:eastAsia="Calibri" w:hAnsi="Calibri" w:cs="Arial"/>
                <w:color w:val="000000"/>
                <w:vertAlign w:val="superscript"/>
              </w:rPr>
              <w:t>er</w:t>
            </w:r>
            <w:r w:rsidRPr="007A52ED">
              <w:rPr>
                <w:rFonts w:ascii="Calibri" w:eastAsia="Calibri" w:hAnsi="Calibri" w:cs="Arial"/>
                <w:color w:val="000000"/>
              </w:rPr>
              <w:t>, 4° loi 17/06/2016 ; Art. 4, §4 ARP 18/04/2017 et Art. 125 ARP 18/04/2017.</w:t>
            </w:r>
          </w:p>
        </w:tc>
      </w:tr>
    </w:tbl>
    <w:p w:rsidR="008748C7" w:rsidRDefault="008748C7" w:rsidP="008748C7">
      <w:pPr>
        <w:ind w:right="33"/>
        <w:jc w:val="both"/>
        <w:rPr>
          <w:rFonts w:ascii="Calibri" w:hAnsi="Calibr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A86068" w:rsidRPr="007A52ED" w:rsidTr="007A52ED">
        <w:tc>
          <w:tcPr>
            <w:tcW w:w="9104" w:type="dxa"/>
          </w:tcPr>
          <w:p w:rsidR="00C943F2" w:rsidRPr="007A52ED" w:rsidRDefault="00A86068" w:rsidP="007A52ED">
            <w:pPr>
              <w:ind w:right="33"/>
              <w:jc w:val="both"/>
              <w:rPr>
                <w:rFonts w:ascii="Calibri" w:eastAsia="Calibri" w:hAnsi="Calibri"/>
              </w:rPr>
            </w:pPr>
            <w:r w:rsidRPr="007A52ED">
              <w:rPr>
                <w:rFonts w:ascii="Calibri" w:eastAsia="Calibri" w:hAnsi="Calibri"/>
                <w:highlight w:val="cyan"/>
              </w:rPr>
              <w:t>B)</w:t>
            </w:r>
            <w:r w:rsidRPr="007A52ED">
              <w:rPr>
                <w:rFonts w:ascii="Calibri" w:eastAsia="Calibri" w:hAnsi="Calibri"/>
              </w:rPr>
              <w:t xml:space="preserve"> </w:t>
            </w:r>
            <w:r w:rsidR="00C943F2" w:rsidRPr="007A52ED">
              <w:rPr>
                <w:rFonts w:ascii="Calibri" w:eastAsia="Calibri" w:hAnsi="Calibri" w:cs="Arial"/>
                <w:color w:val="000000"/>
                <w:highlight w:val="lightGray"/>
              </w:rPr>
              <w:t>Choisissez B) s’il s’agit d’un marché portant sur de la consultance</w:t>
            </w:r>
            <w:r w:rsidR="00C943F2" w:rsidRPr="007A52ED">
              <w:rPr>
                <w:rFonts w:ascii="Calibri" w:eastAsia="Calibri" w:hAnsi="Calibri"/>
                <w:highlight w:val="lightGray"/>
              </w:rPr>
              <w:t>.</w:t>
            </w:r>
          </w:p>
          <w:p w:rsidR="00A86068" w:rsidRPr="007A52ED" w:rsidRDefault="00A86068" w:rsidP="007A52ED">
            <w:pPr>
              <w:ind w:right="33"/>
              <w:jc w:val="both"/>
              <w:rPr>
                <w:rFonts w:ascii="Calibri" w:eastAsia="Calibri" w:hAnsi="Calibri"/>
              </w:rPr>
            </w:pPr>
            <w:r w:rsidRPr="007A52ED">
              <w:rPr>
                <w:rFonts w:ascii="Calibri" w:eastAsia="Calibri" w:hAnsi="Calibri"/>
              </w:rPr>
              <w:t>Art. 88 et 92 loi 17/06/2016 ; Art. 4, §3 ARP 18/04/2017.</w:t>
            </w:r>
          </w:p>
        </w:tc>
      </w:tr>
    </w:tbl>
    <w:p w:rsidR="008748C7" w:rsidRDefault="008748C7" w:rsidP="00A86068">
      <w:pPr>
        <w:ind w:right="33"/>
        <w:jc w:val="both"/>
        <w:rPr>
          <w:rFonts w:ascii="Calibri" w:hAnsi="Calibri"/>
        </w:rPr>
      </w:pPr>
      <w:r>
        <w:rPr>
          <w:rFonts w:ascii="Calibri" w:hAnsi="Calibri"/>
        </w:rPr>
        <w:t xml:space="preserve"> </w:t>
      </w:r>
    </w:p>
    <w:p w:rsidR="008748C7" w:rsidRPr="008748C7" w:rsidRDefault="008748C7" w:rsidP="008748C7">
      <w:pPr>
        <w:jc w:val="both"/>
        <w:rPr>
          <w:rFonts w:ascii="Calibri" w:hAnsi="Calibri" w:cs="Arial"/>
          <w:b/>
          <w:bCs/>
          <w:color w:val="000000"/>
          <w:sz w:val="22"/>
          <w:szCs w:val="22"/>
        </w:rPr>
      </w:pPr>
      <w:r w:rsidRPr="008748C7">
        <w:rPr>
          <w:rFonts w:ascii="Calibri" w:hAnsi="Calibri" w:cs="Arial"/>
          <w:b/>
          <w:bCs/>
          <w:color w:val="000000"/>
          <w:sz w:val="22"/>
          <w:szCs w:val="22"/>
        </w:rPr>
        <w:t>Objet</w:t>
      </w:r>
      <w:r w:rsidR="002B2C0B">
        <w:rPr>
          <w:rStyle w:val="Appelnotedebasdep"/>
          <w:rFonts w:ascii="Calibri" w:hAnsi="Calibri" w:cs="Arial"/>
          <w:b/>
          <w:bCs/>
          <w:color w:val="000000"/>
          <w:sz w:val="22"/>
          <w:szCs w:val="22"/>
        </w:rPr>
        <w:footnoteReference w:id="1"/>
      </w:r>
    </w:p>
    <w:p w:rsidR="008748C7" w:rsidRDefault="008748C7" w:rsidP="008748C7">
      <w:pPr>
        <w:pBdr>
          <w:bottom w:val="single" w:sz="4" w:space="1" w:color="auto"/>
        </w:pBdr>
        <w:jc w:val="both"/>
        <w:rPr>
          <w:rFonts w:ascii="Calibri" w:hAnsi="Calibri"/>
        </w:rPr>
      </w:pPr>
    </w:p>
    <w:p w:rsidR="008748C7" w:rsidRDefault="008748C7" w:rsidP="008748C7">
      <w:pPr>
        <w:jc w:val="both"/>
        <w:rPr>
          <w:rFonts w:ascii="Tahoma" w:hAnsi="Tahoma"/>
          <w:sz w:val="22"/>
          <w:lang w:val="fr-B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A86068" w:rsidRPr="007A52ED" w:rsidTr="007A52ED">
        <w:tc>
          <w:tcPr>
            <w:tcW w:w="9104" w:type="dxa"/>
          </w:tcPr>
          <w:p w:rsidR="00A86068" w:rsidRPr="007A52ED" w:rsidRDefault="00A86068" w:rsidP="007A52ED">
            <w:pPr>
              <w:jc w:val="both"/>
              <w:rPr>
                <w:rFonts w:ascii="Calibri" w:eastAsia="Calibri" w:hAnsi="Calibri" w:cs="Arial"/>
                <w:color w:val="000000"/>
              </w:rPr>
            </w:pPr>
            <w:r w:rsidRPr="007A52ED">
              <w:rPr>
                <w:rFonts w:ascii="Calibri" w:eastAsia="Calibri" w:hAnsi="Calibri" w:cs="Arial"/>
                <w:color w:val="000000"/>
                <w:sz w:val="22"/>
                <w:szCs w:val="22"/>
                <w:highlight w:val="cyan"/>
              </w:rPr>
              <w:t>A)</w:t>
            </w:r>
            <w:r w:rsidRPr="007A52ED">
              <w:rPr>
                <w:rFonts w:ascii="Calibri" w:eastAsia="Calibri" w:hAnsi="Calibri" w:cs="Arial"/>
                <w:color w:val="000000"/>
              </w:rPr>
              <w:t xml:space="preserve"> </w:t>
            </w:r>
            <w:r w:rsidRPr="007A52ED">
              <w:rPr>
                <w:rFonts w:ascii="Calibri" w:eastAsia="Calibri" w:hAnsi="Calibri" w:cs="Arial"/>
                <w:color w:val="000000"/>
                <w:highlight w:val="lightGray"/>
              </w:rPr>
              <w:t xml:space="preserve">Choisissez A) s’il s’agit d’un marché portant sur </w:t>
            </w:r>
            <w:r w:rsidR="00724C4E" w:rsidRPr="007A52ED">
              <w:rPr>
                <w:rFonts w:ascii="Calibri" w:eastAsia="Calibri" w:hAnsi="Calibri" w:cs="Arial"/>
                <w:color w:val="000000"/>
                <w:highlight w:val="lightGray"/>
              </w:rPr>
              <w:t>du</w:t>
            </w:r>
            <w:r w:rsidRPr="007A52ED">
              <w:rPr>
                <w:rFonts w:ascii="Calibri" w:eastAsia="Calibri" w:hAnsi="Calibri" w:cs="Arial"/>
                <w:color w:val="000000"/>
                <w:highlight w:val="lightGray"/>
              </w:rPr>
              <w:t xml:space="preserve"> contentieux</w:t>
            </w:r>
            <w:r w:rsidR="00F40C2E">
              <w:rPr>
                <w:rFonts w:ascii="Calibri" w:eastAsia="Calibri" w:hAnsi="Calibri" w:cs="Arial"/>
                <w:color w:val="000000"/>
                <w:highlight w:val="lightGray"/>
              </w:rPr>
              <w:t>.</w:t>
            </w:r>
            <w:r w:rsidR="00724C4E" w:rsidRPr="007A52ED">
              <w:rPr>
                <w:rFonts w:ascii="Calibri" w:eastAsia="Calibri" w:hAnsi="Calibri" w:cs="Arial"/>
                <w:color w:val="000000"/>
                <w:highlight w:val="lightGray"/>
              </w:rPr>
              <w:t xml:space="preserve"> </w:t>
            </w:r>
          </w:p>
          <w:p w:rsidR="00807597" w:rsidRPr="007A52ED" w:rsidRDefault="00807597" w:rsidP="007A52ED">
            <w:pPr>
              <w:ind w:right="33"/>
              <w:jc w:val="both"/>
              <w:rPr>
                <w:rFonts w:ascii="Calibri" w:eastAsia="Calibri" w:hAnsi="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807597" w:rsidRPr="007A52ED" w:rsidTr="007A52ED">
              <w:tc>
                <w:tcPr>
                  <w:tcW w:w="8873" w:type="dxa"/>
                </w:tcPr>
                <w:p w:rsidR="00C943F2" w:rsidRPr="007A52ED" w:rsidRDefault="00807597" w:rsidP="007A52ED">
                  <w:pPr>
                    <w:ind w:right="33"/>
                    <w:jc w:val="both"/>
                    <w:rPr>
                      <w:rFonts w:ascii="Calibri" w:eastAsia="Calibri" w:hAnsi="Calibri" w:cs="Arial"/>
                      <w:color w:val="000000"/>
                    </w:rPr>
                  </w:pPr>
                  <w:r w:rsidRPr="007A52ED">
                    <w:rPr>
                      <w:rFonts w:ascii="Calibri" w:eastAsia="Calibri" w:hAnsi="Calibri"/>
                      <w:sz w:val="22"/>
                      <w:szCs w:val="22"/>
                      <w:highlight w:val="cyan"/>
                    </w:rPr>
                    <w:t>A1)</w:t>
                  </w:r>
                  <w:r w:rsidRPr="007A52ED">
                    <w:rPr>
                      <w:rFonts w:ascii="Calibri" w:eastAsia="Calibri" w:hAnsi="Calibri"/>
                      <w:sz w:val="22"/>
                      <w:szCs w:val="22"/>
                    </w:rPr>
                    <w:t xml:space="preserve"> </w:t>
                  </w:r>
                  <w:r w:rsidR="00C943F2" w:rsidRPr="007A52ED">
                    <w:rPr>
                      <w:rFonts w:ascii="Calibri" w:eastAsia="Calibri" w:hAnsi="Calibri" w:cs="Arial"/>
                      <w:color w:val="000000"/>
                      <w:highlight w:val="lightGray"/>
                    </w:rPr>
                    <w:t>Choisissez A1) si vous avez rarement de nouveau</w:t>
                  </w:r>
                  <w:r w:rsidR="00C65FBE">
                    <w:rPr>
                      <w:rFonts w:ascii="Calibri" w:eastAsia="Calibri" w:hAnsi="Calibri" w:cs="Arial"/>
                      <w:color w:val="000000"/>
                      <w:highlight w:val="lightGray"/>
                    </w:rPr>
                    <w:t>x</w:t>
                  </w:r>
                  <w:r w:rsidR="00C943F2" w:rsidRPr="007A52ED">
                    <w:rPr>
                      <w:rFonts w:ascii="Calibri" w:eastAsia="Calibri" w:hAnsi="Calibri" w:cs="Arial"/>
                      <w:color w:val="000000"/>
                      <w:highlight w:val="lightGray"/>
                    </w:rPr>
                    <w:t xml:space="preserve"> dossiers contentieux à gérer.</w:t>
                  </w:r>
                </w:p>
                <w:p w:rsidR="00807597" w:rsidRPr="007A52ED" w:rsidRDefault="00807597" w:rsidP="007A52ED">
                  <w:pPr>
                    <w:ind w:right="33"/>
                    <w:jc w:val="both"/>
                    <w:rPr>
                      <w:rFonts w:ascii="Calibri" w:eastAsia="Calibri" w:hAnsi="Calibri"/>
                      <w:lang w:val="fr-BE"/>
                    </w:rPr>
                  </w:pPr>
                  <w:r w:rsidRPr="007A52ED">
                    <w:rPr>
                      <w:rFonts w:ascii="Calibri" w:eastAsia="Calibri" w:hAnsi="Calibri"/>
                      <w:sz w:val="22"/>
                      <w:szCs w:val="22"/>
                    </w:rPr>
                    <w:t xml:space="preserve">La mission de l’avocat sera de représenter la Région wallonne </w:t>
                  </w:r>
                  <w:r w:rsidRPr="007A52ED">
                    <w:rPr>
                      <w:rFonts w:ascii="Calibri" w:eastAsia="Calibri" w:hAnsi="Calibri"/>
                      <w:sz w:val="22"/>
                      <w:szCs w:val="22"/>
                      <w:lang w:val="fr-BE"/>
                    </w:rPr>
                    <w:t>dans les</w:t>
                  </w:r>
                  <w:r w:rsidRPr="007A52ED">
                    <w:rPr>
                      <w:rFonts w:ascii="Calibri" w:eastAsia="Calibri" w:hAnsi="Calibri"/>
                      <w:b/>
                      <w:sz w:val="22"/>
                      <w:szCs w:val="22"/>
                      <w:lang w:val="fr-BE"/>
                    </w:rPr>
                    <w:t xml:space="preserve"> </w:t>
                  </w:r>
                  <w:r w:rsidRPr="007A52ED">
                    <w:rPr>
                      <w:rFonts w:ascii="Calibri" w:eastAsia="Calibri" w:hAnsi="Calibri"/>
                      <w:sz w:val="22"/>
                      <w:szCs w:val="22"/>
                      <w:lang w:val="fr-BE"/>
                    </w:rPr>
                    <w:t xml:space="preserve">procédures contentieuses relatives </w:t>
                  </w:r>
                  <w:r w:rsidRPr="007A52ED">
                    <w:rPr>
                      <w:rFonts w:ascii="Calibri" w:eastAsia="Calibri" w:hAnsi="Calibri"/>
                      <w:sz w:val="22"/>
                      <w:szCs w:val="22"/>
                      <w:highlight w:val="yellow"/>
                      <w:lang w:val="fr-BE"/>
                    </w:rPr>
                    <w:t>à/aux</w:t>
                  </w:r>
                  <w:r w:rsidRPr="007A52ED">
                    <w:rPr>
                      <w:rFonts w:ascii="Calibri" w:eastAsia="Calibri" w:hAnsi="Calibri"/>
                      <w:sz w:val="22"/>
                      <w:szCs w:val="22"/>
                      <w:lang w:val="fr-BE"/>
                    </w:rPr>
                    <w:t xml:space="preserve"> affaire</w:t>
                  </w:r>
                  <w:r w:rsidRPr="007A52ED">
                    <w:rPr>
                      <w:rFonts w:ascii="Calibri" w:eastAsia="Calibri" w:hAnsi="Calibri"/>
                      <w:sz w:val="22"/>
                      <w:szCs w:val="22"/>
                      <w:highlight w:val="yellow"/>
                      <w:lang w:val="fr-BE"/>
                    </w:rPr>
                    <w:t>(s)</w:t>
                  </w:r>
                  <w:r w:rsidRPr="007A52ED">
                    <w:rPr>
                      <w:rFonts w:ascii="Calibri" w:eastAsia="Calibri" w:hAnsi="Calibri"/>
                      <w:sz w:val="22"/>
                      <w:szCs w:val="22"/>
                      <w:lang w:val="fr-BE"/>
                    </w:rPr>
                    <w:t xml:space="preserve"> introduite</w:t>
                  </w:r>
                  <w:r w:rsidRPr="007A52ED">
                    <w:rPr>
                      <w:rFonts w:ascii="Calibri" w:eastAsia="Calibri" w:hAnsi="Calibri"/>
                      <w:sz w:val="22"/>
                      <w:szCs w:val="22"/>
                      <w:highlight w:val="yellow"/>
                      <w:lang w:val="fr-BE"/>
                    </w:rPr>
                    <w:t>(s)</w:t>
                  </w:r>
                  <w:r w:rsidRPr="007A52ED">
                    <w:rPr>
                      <w:rFonts w:ascii="Calibri" w:eastAsia="Calibri" w:hAnsi="Calibri"/>
                      <w:sz w:val="22"/>
                      <w:szCs w:val="22"/>
                      <w:lang w:val="fr-BE"/>
                    </w:rPr>
                    <w:t xml:space="preserve"> par citation</w:t>
                  </w:r>
                  <w:r w:rsidRPr="007A52ED">
                    <w:rPr>
                      <w:rFonts w:ascii="Calibri" w:eastAsia="Calibri" w:hAnsi="Calibri"/>
                      <w:sz w:val="22"/>
                      <w:szCs w:val="22"/>
                      <w:highlight w:val="yellow"/>
                      <w:lang w:val="fr-BE"/>
                    </w:rPr>
                    <w:t>(s)</w:t>
                  </w:r>
                  <w:r w:rsidRPr="007A52ED">
                    <w:rPr>
                      <w:rFonts w:ascii="Calibri" w:eastAsia="Calibri" w:hAnsi="Calibri"/>
                      <w:sz w:val="22"/>
                      <w:szCs w:val="22"/>
                      <w:lang w:val="fr-BE"/>
                    </w:rPr>
                    <w:t xml:space="preserve"> dont une copie est jointe en annexe au présent descriptif de marché. </w:t>
                  </w:r>
                </w:p>
              </w:tc>
            </w:tr>
          </w:tbl>
          <w:p w:rsidR="00807597" w:rsidRPr="007A52ED" w:rsidRDefault="00807597" w:rsidP="007A52ED">
            <w:pPr>
              <w:ind w:right="33"/>
              <w:jc w:val="both"/>
              <w:rPr>
                <w:rFonts w:ascii="Calibri" w:eastAsia="Calibri" w:hAnsi="Calibri" w:cs="Arial"/>
                <w:color w:val="000000"/>
                <w:sz w:val="22"/>
                <w:szCs w:val="22"/>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807597" w:rsidRPr="007A52ED" w:rsidTr="007A52ED">
              <w:tc>
                <w:tcPr>
                  <w:tcW w:w="8873" w:type="dxa"/>
                </w:tcPr>
                <w:p w:rsidR="00C943F2" w:rsidRPr="007A52ED" w:rsidRDefault="00807597" w:rsidP="007A52ED">
                  <w:pPr>
                    <w:ind w:right="33"/>
                    <w:jc w:val="both"/>
                    <w:rPr>
                      <w:rFonts w:ascii="Calibri" w:eastAsia="Calibri" w:hAnsi="Calibri" w:cs="Arial"/>
                      <w:bCs/>
                      <w:color w:val="000000"/>
                    </w:rPr>
                  </w:pPr>
                  <w:r w:rsidRPr="007A52ED">
                    <w:rPr>
                      <w:rFonts w:ascii="Calibri" w:eastAsia="Calibri" w:hAnsi="Calibri" w:cs="Arial"/>
                      <w:color w:val="000000"/>
                      <w:sz w:val="22"/>
                      <w:szCs w:val="22"/>
                      <w:highlight w:val="cyan"/>
                    </w:rPr>
                    <w:t>A2)</w:t>
                  </w:r>
                  <w:r w:rsidRPr="007A52ED">
                    <w:rPr>
                      <w:rFonts w:ascii="Calibri" w:eastAsia="Calibri" w:hAnsi="Calibri"/>
                      <w:sz w:val="22"/>
                      <w:szCs w:val="22"/>
                    </w:rPr>
                    <w:t xml:space="preserve"> </w:t>
                  </w:r>
                  <w:r w:rsidR="00C943F2" w:rsidRPr="007A52ED">
                    <w:rPr>
                      <w:rFonts w:ascii="Calibri" w:eastAsia="Calibri" w:hAnsi="Calibri" w:cs="Arial"/>
                      <w:color w:val="000000"/>
                      <w:highlight w:val="lightGray"/>
                    </w:rPr>
                    <w:t>Choisissez A2) si vous avez régulièrement de nouveaux dossiers contentieux à gérer.</w:t>
                  </w:r>
                  <w:r w:rsidR="00C943F2" w:rsidRPr="007A52ED">
                    <w:rPr>
                      <w:rFonts w:ascii="Calibri" w:eastAsia="Calibri" w:hAnsi="Calibri" w:cs="Arial"/>
                      <w:bCs/>
                      <w:color w:val="000000"/>
                      <w:highlight w:val="lightGray"/>
                    </w:rPr>
                    <w:t xml:space="preserve"> Cependant, vous ne pouvez recourir à A2) que si vous avez déjà au moins 1 contentieux à attribuer, autrement dit, un marché ne peut être lancé pour subvenir à un besoin hypothétique.</w:t>
                  </w:r>
                </w:p>
                <w:p w:rsidR="00807597" w:rsidRPr="007A52ED" w:rsidRDefault="00807597" w:rsidP="007A52ED">
                  <w:pPr>
                    <w:ind w:right="33"/>
                    <w:jc w:val="both"/>
                    <w:rPr>
                      <w:rFonts w:ascii="Calibri" w:eastAsia="Calibri" w:hAnsi="Calibri" w:cs="Arial"/>
                      <w:bCs/>
                      <w:color w:val="000000"/>
                    </w:rPr>
                  </w:pPr>
                  <w:r w:rsidRPr="007A52ED">
                    <w:rPr>
                      <w:rFonts w:ascii="Calibri" w:eastAsia="Calibri" w:hAnsi="Calibri"/>
                      <w:sz w:val="22"/>
                      <w:szCs w:val="22"/>
                    </w:rPr>
                    <w:t xml:space="preserve">La mission de l’avocat sera de représenter la Région wallonne </w:t>
                  </w:r>
                  <w:r w:rsidRPr="007A52ED">
                    <w:rPr>
                      <w:rFonts w:ascii="Calibri" w:eastAsia="Calibri" w:hAnsi="Calibri"/>
                      <w:sz w:val="22"/>
                      <w:szCs w:val="22"/>
                      <w:lang w:val="fr-BE"/>
                    </w:rPr>
                    <w:t>dans les</w:t>
                  </w:r>
                  <w:r w:rsidRPr="007A52ED">
                    <w:rPr>
                      <w:rFonts w:ascii="Calibri" w:eastAsia="Calibri" w:hAnsi="Calibri"/>
                      <w:b/>
                      <w:sz w:val="22"/>
                      <w:szCs w:val="22"/>
                      <w:lang w:val="fr-BE"/>
                    </w:rPr>
                    <w:t xml:space="preserve"> </w:t>
                  </w:r>
                  <w:r w:rsidRPr="007A52ED">
                    <w:rPr>
                      <w:rFonts w:ascii="Calibri" w:eastAsia="Calibri" w:hAnsi="Calibri"/>
                      <w:sz w:val="22"/>
                      <w:szCs w:val="22"/>
                      <w:lang w:val="fr-BE"/>
                    </w:rPr>
                    <w:t xml:space="preserve">procédures contentieuses ou précontentieuses à intervenir entre le </w:t>
                  </w:r>
                  <w:r w:rsidRPr="007A52ED">
                    <w:rPr>
                      <w:rFonts w:ascii="Calibri" w:eastAsia="Calibri" w:hAnsi="Calibri" w:cs="Arial"/>
                      <w:bCs/>
                      <w:color w:val="000000"/>
                      <w:highlight w:val="yellow"/>
                    </w:rPr>
                    <w:t>[à compléter par une date]</w:t>
                  </w:r>
                  <w:r w:rsidRPr="007A52ED">
                    <w:rPr>
                      <w:rFonts w:ascii="Calibri" w:eastAsia="Calibri" w:hAnsi="Calibri" w:cs="Arial"/>
                      <w:bCs/>
                      <w:color w:val="000000"/>
                    </w:rPr>
                    <w:t xml:space="preserve"> </w:t>
                  </w:r>
                  <w:r w:rsidRPr="007A52ED">
                    <w:rPr>
                      <w:rFonts w:ascii="Calibri" w:eastAsia="Calibri" w:hAnsi="Calibri"/>
                      <w:sz w:val="22"/>
                      <w:szCs w:val="22"/>
                      <w:lang w:val="fr-BE"/>
                    </w:rPr>
                    <w:t xml:space="preserve">et le </w:t>
                  </w:r>
                  <w:r w:rsidRPr="007A52ED">
                    <w:rPr>
                      <w:rFonts w:ascii="Calibri" w:eastAsia="Calibri" w:hAnsi="Calibri" w:cs="Arial"/>
                      <w:bCs/>
                      <w:color w:val="000000"/>
                      <w:highlight w:val="yellow"/>
                    </w:rPr>
                    <w:t>[à compléter par une date]</w:t>
                  </w:r>
                  <w:r w:rsidRPr="007A52ED">
                    <w:rPr>
                      <w:rFonts w:ascii="Calibri" w:eastAsia="Calibri" w:hAnsi="Calibri" w:cs="Arial"/>
                      <w:bCs/>
                      <w:color w:val="000000"/>
                    </w:rPr>
                    <w:t xml:space="preserve"> </w:t>
                  </w:r>
                  <w:r w:rsidRPr="007A52ED">
                    <w:rPr>
                      <w:rFonts w:ascii="Calibri" w:eastAsia="Calibri" w:hAnsi="Calibri"/>
                      <w:sz w:val="22"/>
                      <w:szCs w:val="22"/>
                      <w:lang w:val="fr-BE"/>
                    </w:rPr>
                    <w:t>dans la matière</w:t>
                  </w:r>
                  <w:r w:rsidRPr="007A52ED">
                    <w:rPr>
                      <w:rFonts w:ascii="Calibri" w:eastAsia="Calibri" w:hAnsi="Calibri" w:cs="Arial"/>
                      <w:bCs/>
                      <w:color w:val="000000"/>
                    </w:rPr>
                    <w:t xml:space="preserve"> </w:t>
                  </w:r>
                  <w:r w:rsidRPr="007A52ED">
                    <w:rPr>
                      <w:rFonts w:ascii="Calibri" w:eastAsia="Calibri" w:hAnsi="Calibri" w:cs="Arial"/>
                      <w:bCs/>
                      <w:color w:val="000000"/>
                      <w:highlight w:val="yellow"/>
                    </w:rPr>
                    <w:t>[à compléter]</w:t>
                  </w:r>
                  <w:r w:rsidRPr="007A52ED">
                    <w:rPr>
                      <w:rFonts w:ascii="Calibri" w:eastAsia="Calibri" w:hAnsi="Calibri" w:cs="Arial"/>
                      <w:bCs/>
                      <w:color w:val="000000"/>
                    </w:rPr>
                    <w:t xml:space="preserve"> </w:t>
                  </w:r>
                  <w:r w:rsidRPr="007A52ED">
                    <w:rPr>
                      <w:rFonts w:ascii="Calibri" w:eastAsia="Calibri" w:hAnsi="Calibri"/>
                      <w:sz w:val="22"/>
                      <w:szCs w:val="22"/>
                      <w:lang w:val="fr-BE"/>
                    </w:rPr>
                    <w:t>et gérée par la Direction générale</w:t>
                  </w:r>
                  <w:r w:rsidRPr="007A52ED">
                    <w:rPr>
                      <w:rFonts w:ascii="Calibri" w:eastAsia="Calibri" w:hAnsi="Calibri" w:cs="Arial"/>
                      <w:bCs/>
                      <w:color w:val="000000"/>
                    </w:rPr>
                    <w:t xml:space="preserve"> </w:t>
                  </w:r>
                  <w:r w:rsidRPr="007A52ED">
                    <w:rPr>
                      <w:rFonts w:ascii="Calibri" w:eastAsia="Calibri" w:hAnsi="Calibri" w:cs="Arial"/>
                      <w:bCs/>
                      <w:color w:val="000000"/>
                      <w:highlight w:val="yellow"/>
                    </w:rPr>
                    <w:t>[à compléter]</w:t>
                  </w:r>
                  <w:r w:rsidRPr="007A52ED">
                    <w:rPr>
                      <w:rFonts w:ascii="Calibri" w:eastAsia="Calibri" w:hAnsi="Calibri" w:cs="Arial"/>
                      <w:bCs/>
                      <w:color w:val="000000"/>
                    </w:rPr>
                    <w:t xml:space="preserve"> </w:t>
                  </w:r>
                  <w:r w:rsidRPr="007A52ED">
                    <w:rPr>
                      <w:rFonts w:ascii="Calibri" w:eastAsia="Calibri" w:hAnsi="Calibri"/>
                      <w:sz w:val="22"/>
                      <w:szCs w:val="22"/>
                      <w:lang w:val="fr-BE"/>
                    </w:rPr>
                    <w:t>- Département</w:t>
                  </w:r>
                  <w:r w:rsidRPr="007A52ED">
                    <w:rPr>
                      <w:rFonts w:ascii="Calibri" w:eastAsia="Calibri" w:hAnsi="Calibri" w:cs="Arial"/>
                      <w:bCs/>
                      <w:color w:val="000000"/>
                    </w:rPr>
                    <w:t xml:space="preserve"> </w:t>
                  </w:r>
                  <w:r w:rsidRPr="007A52ED">
                    <w:rPr>
                      <w:rFonts w:ascii="Calibri" w:eastAsia="Calibri" w:hAnsi="Calibri" w:cs="Arial"/>
                      <w:bCs/>
                      <w:color w:val="000000"/>
                      <w:highlight w:val="yellow"/>
                    </w:rPr>
                    <w:t>[à compléter]</w:t>
                  </w:r>
                  <w:r w:rsidRPr="007A52ED">
                    <w:rPr>
                      <w:rFonts w:ascii="Calibri" w:eastAsia="Calibri" w:hAnsi="Calibri" w:cs="Arial"/>
                      <w:bCs/>
                      <w:color w:val="000000"/>
                    </w:rPr>
                    <w:t xml:space="preserve"> </w:t>
                  </w:r>
                  <w:r w:rsidRPr="007A52ED">
                    <w:rPr>
                      <w:rFonts w:ascii="Calibri" w:eastAsia="Calibri" w:hAnsi="Calibri"/>
                      <w:sz w:val="22"/>
                      <w:szCs w:val="22"/>
                      <w:lang w:val="fr-BE"/>
                    </w:rPr>
                    <w:t xml:space="preserve">- Direction </w:t>
                  </w:r>
                  <w:r w:rsidRPr="007A52ED">
                    <w:rPr>
                      <w:rFonts w:ascii="Calibri" w:eastAsia="Calibri" w:hAnsi="Calibri" w:cs="Arial"/>
                      <w:bCs/>
                      <w:color w:val="000000"/>
                      <w:highlight w:val="yellow"/>
                    </w:rPr>
                    <w:t>[à compléter]</w:t>
                  </w:r>
                  <w:r w:rsidRPr="007A52ED">
                    <w:rPr>
                      <w:rFonts w:ascii="Calibri" w:eastAsia="Calibri" w:hAnsi="Calibri" w:cs="Arial"/>
                      <w:bCs/>
                      <w:color w:val="000000"/>
                    </w:rPr>
                    <w:t>.</w:t>
                  </w:r>
                </w:p>
              </w:tc>
            </w:tr>
          </w:tbl>
          <w:p w:rsidR="00807597" w:rsidRPr="007A52ED" w:rsidRDefault="00807597" w:rsidP="007A52ED">
            <w:pPr>
              <w:ind w:right="33"/>
              <w:jc w:val="both"/>
              <w:rPr>
                <w:rFonts w:ascii="Calibri" w:eastAsia="Calibri" w:hAnsi="Calibri"/>
                <w:sz w:val="22"/>
                <w:szCs w:val="22"/>
              </w:rPr>
            </w:pPr>
          </w:p>
          <w:p w:rsidR="00A86068" w:rsidRPr="007A52ED" w:rsidRDefault="00A86068" w:rsidP="007A52ED">
            <w:pPr>
              <w:ind w:right="33"/>
              <w:jc w:val="both"/>
              <w:rPr>
                <w:rFonts w:ascii="Calibri" w:eastAsia="Calibri" w:hAnsi="Calibri"/>
                <w:sz w:val="22"/>
                <w:szCs w:val="22"/>
              </w:rPr>
            </w:pPr>
            <w:r w:rsidRPr="007A52ED">
              <w:rPr>
                <w:rFonts w:ascii="Calibri" w:eastAsia="Calibri" w:hAnsi="Calibri"/>
                <w:sz w:val="22"/>
                <w:szCs w:val="22"/>
              </w:rPr>
              <w:t>Parallèlement aux procédures juridictionnelles ou en dehors de ces dernières, la mission comporte également l’intervention de l’avocat visant à une négociation éventuelle d’un accord transactionnel lorsqu’il est juridiquement possible, l’échange de courriers relatifs à ces opérations, les réunions nécessitées par ces opérations ainsi que la remise d’avis circonstanciés.</w:t>
            </w:r>
          </w:p>
          <w:p w:rsidR="00A86068" w:rsidRPr="007A52ED" w:rsidRDefault="00A86068" w:rsidP="007A52ED">
            <w:pPr>
              <w:tabs>
                <w:tab w:val="left" w:pos="705"/>
              </w:tabs>
              <w:jc w:val="both"/>
              <w:rPr>
                <w:rFonts w:ascii="Calibri" w:eastAsia="Calibri" w:hAnsi="Calibri"/>
                <w:sz w:val="22"/>
                <w:szCs w:val="22"/>
              </w:rPr>
            </w:pPr>
            <w:r w:rsidRPr="007A52ED">
              <w:rPr>
                <w:rFonts w:ascii="Calibri" w:eastAsia="Calibri" w:hAnsi="Calibri"/>
                <w:sz w:val="22"/>
                <w:szCs w:val="22"/>
              </w:rPr>
              <w:t>Le présent marché ne concerne pas les procédures devant la Cour de Cassation, la Cour Constitutionnelle, la Cour européenne des droits de l’Homme ou la Cour de Justice de l'Union européenne qui sont liés aux procédures contentieuses faisant l’objet du présent marché. Il inclut par contre, les questions préjudicielles à poser dans le cadre des litiges définis ci-dessus, moyennant l’accord préalable du pouvoir adjudicateur.</w:t>
            </w:r>
          </w:p>
          <w:p w:rsidR="00A86068" w:rsidRPr="007A52ED" w:rsidRDefault="00A86068" w:rsidP="007A52ED">
            <w:pPr>
              <w:tabs>
                <w:tab w:val="left" w:pos="705"/>
              </w:tabs>
              <w:jc w:val="both"/>
              <w:rPr>
                <w:rFonts w:ascii="Calibri" w:eastAsia="Calibri" w:hAnsi="Calibri" w:cs="Arial"/>
                <w:bCs/>
                <w:color w:val="000000"/>
                <w:highlight w:val="lightGray"/>
              </w:rPr>
            </w:pPr>
            <w:r w:rsidRPr="007A52ED">
              <w:rPr>
                <w:rFonts w:ascii="Calibri" w:eastAsia="Calibri" w:hAnsi="Calibri" w:cs="Arial"/>
                <w:bCs/>
                <w:color w:val="000000"/>
                <w:highlight w:val="lightGray"/>
              </w:rPr>
              <w:t xml:space="preserve">Pour les procédures devant la Cour de Cassation, la Cour Constitutionnelle, la Cour européenne des droits de l’Homme ou la Cour de Justice de l'Union européenne, il convient de procéder par marché distinct. Pour ces marchés, vous pouvez utiliser le présent modèle moyennant adaptation de l’objet du marché et suppression du paragraphe précédant. </w:t>
            </w:r>
          </w:p>
        </w:tc>
      </w:tr>
    </w:tbl>
    <w:p w:rsidR="00724C4E" w:rsidRDefault="00724C4E" w:rsidP="008748C7">
      <w:pPr>
        <w:tabs>
          <w:tab w:val="left" w:pos="705"/>
        </w:tabs>
        <w:jc w:val="both"/>
        <w:rPr>
          <w:rFonts w:ascii="Calibri" w:hAnsi="Calibri"/>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9E20F3" w:rsidRPr="007A52ED" w:rsidTr="007A52ED">
        <w:tc>
          <w:tcPr>
            <w:tcW w:w="9104" w:type="dxa"/>
          </w:tcPr>
          <w:p w:rsidR="009E20F3" w:rsidRPr="007A52ED" w:rsidRDefault="00807597" w:rsidP="007A52ED">
            <w:pPr>
              <w:tabs>
                <w:tab w:val="left" w:pos="705"/>
              </w:tabs>
              <w:jc w:val="both"/>
              <w:rPr>
                <w:rFonts w:ascii="Calibri" w:eastAsia="Calibri" w:hAnsi="Calibri"/>
                <w:sz w:val="22"/>
                <w:szCs w:val="22"/>
              </w:rPr>
            </w:pPr>
            <w:r w:rsidRPr="007A52ED">
              <w:rPr>
                <w:rFonts w:ascii="Calibri" w:eastAsia="Calibri" w:hAnsi="Calibri"/>
                <w:sz w:val="22"/>
                <w:szCs w:val="22"/>
                <w:highlight w:val="cyan"/>
              </w:rPr>
              <w:t>B</w:t>
            </w:r>
            <w:r w:rsidR="009E20F3" w:rsidRPr="007A52ED">
              <w:rPr>
                <w:rFonts w:ascii="Calibri" w:eastAsia="Calibri" w:hAnsi="Calibri"/>
                <w:sz w:val="22"/>
                <w:szCs w:val="22"/>
                <w:highlight w:val="cyan"/>
              </w:rPr>
              <w:t>)</w:t>
            </w:r>
            <w:r w:rsidR="009E20F3" w:rsidRPr="007A52ED">
              <w:rPr>
                <w:rFonts w:ascii="Calibri" w:eastAsia="Calibri" w:hAnsi="Calibri"/>
                <w:sz w:val="22"/>
                <w:szCs w:val="22"/>
              </w:rPr>
              <w:t xml:space="preserve"> </w:t>
            </w:r>
            <w:r w:rsidR="009E20F3" w:rsidRPr="007A52ED">
              <w:rPr>
                <w:rFonts w:ascii="Calibri" w:eastAsia="Calibri" w:hAnsi="Calibri" w:cs="Arial"/>
                <w:color w:val="000000"/>
                <w:highlight w:val="lightGray"/>
              </w:rPr>
              <w:t>Choisis</w:t>
            </w:r>
            <w:r w:rsidRPr="007A52ED">
              <w:rPr>
                <w:rFonts w:ascii="Calibri" w:eastAsia="Calibri" w:hAnsi="Calibri" w:cs="Arial"/>
                <w:color w:val="000000"/>
                <w:highlight w:val="lightGray"/>
              </w:rPr>
              <w:t>sez B</w:t>
            </w:r>
            <w:r w:rsidR="009E20F3" w:rsidRPr="007A52ED">
              <w:rPr>
                <w:rFonts w:ascii="Calibri" w:eastAsia="Calibri" w:hAnsi="Calibri" w:cs="Arial"/>
                <w:color w:val="000000"/>
                <w:highlight w:val="lightGray"/>
              </w:rPr>
              <w:t>) s’il s’agit d’un marché portant sur de la consultance</w:t>
            </w:r>
            <w:r w:rsidR="009E20F3" w:rsidRPr="007A52ED">
              <w:rPr>
                <w:rFonts w:ascii="Calibri" w:eastAsia="Calibri" w:hAnsi="Calibri"/>
                <w:highlight w:val="lightGray"/>
              </w:rPr>
              <w:t>.</w:t>
            </w:r>
          </w:p>
          <w:p w:rsidR="00807597" w:rsidRPr="007A52ED" w:rsidRDefault="00807597" w:rsidP="007A52ED">
            <w:pPr>
              <w:tabs>
                <w:tab w:val="left" w:pos="705"/>
              </w:tabs>
              <w:jc w:val="both"/>
              <w:rPr>
                <w:rFonts w:ascii="Calibri" w:eastAsia="Calibri" w:hAnsi="Calibri"/>
                <w:color w:val="0070C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807597" w:rsidRPr="007A52ED" w:rsidTr="007A52ED">
              <w:tc>
                <w:tcPr>
                  <w:tcW w:w="8873" w:type="dxa"/>
                </w:tcPr>
                <w:p w:rsidR="00C943F2" w:rsidRPr="007A52ED" w:rsidRDefault="00807597" w:rsidP="007A52ED">
                  <w:pPr>
                    <w:tabs>
                      <w:tab w:val="left" w:pos="705"/>
                    </w:tabs>
                    <w:jc w:val="both"/>
                    <w:rPr>
                      <w:rFonts w:ascii="Calibri" w:eastAsia="Calibri" w:hAnsi="Calibri" w:cs="Arial"/>
                      <w:bCs/>
                    </w:rPr>
                  </w:pPr>
                  <w:r w:rsidRPr="007A52ED">
                    <w:rPr>
                      <w:rFonts w:ascii="Calibri" w:eastAsia="Calibri" w:hAnsi="Calibri"/>
                      <w:sz w:val="22"/>
                      <w:szCs w:val="22"/>
                      <w:highlight w:val="cyan"/>
                    </w:rPr>
                    <w:t>B1)</w:t>
                  </w:r>
                  <w:r w:rsidRPr="007A52ED">
                    <w:rPr>
                      <w:rFonts w:ascii="Calibri" w:eastAsia="Calibri" w:hAnsi="Calibri"/>
                      <w:sz w:val="22"/>
                      <w:szCs w:val="22"/>
                    </w:rPr>
                    <w:t xml:space="preserve"> </w:t>
                  </w:r>
                  <w:r w:rsidR="00C943F2" w:rsidRPr="007A52ED">
                    <w:rPr>
                      <w:rFonts w:ascii="Calibri" w:eastAsia="Calibri" w:hAnsi="Calibri" w:cs="Arial"/>
                      <w:bCs/>
                      <w:highlight w:val="lightGray"/>
                    </w:rPr>
                    <w:t>Choisissez B1) s’il ne s’agit pas d’une consultation d’aide à la rédaction de textes normatifs.</w:t>
                  </w:r>
                </w:p>
                <w:p w:rsidR="00F938E6" w:rsidRPr="007A52ED" w:rsidRDefault="00807597" w:rsidP="007A52ED">
                  <w:pPr>
                    <w:tabs>
                      <w:tab w:val="left" w:pos="705"/>
                    </w:tabs>
                    <w:jc w:val="both"/>
                    <w:rPr>
                      <w:rFonts w:ascii="Calibri" w:eastAsia="Calibri" w:hAnsi="Calibri" w:cs="Arial"/>
                      <w:bCs/>
                      <w:sz w:val="22"/>
                      <w:szCs w:val="22"/>
                    </w:rPr>
                  </w:pPr>
                  <w:r w:rsidRPr="007A52ED">
                    <w:rPr>
                      <w:rFonts w:ascii="Calibri" w:eastAsia="Calibri" w:hAnsi="Calibri"/>
                      <w:sz w:val="22"/>
                      <w:szCs w:val="22"/>
                    </w:rPr>
                    <w:t xml:space="preserve">La mission de l’avocat consiste en une consultation juridique dans la matière </w:t>
                  </w:r>
                  <w:r w:rsidRPr="007A52ED">
                    <w:rPr>
                      <w:rFonts w:ascii="Calibri" w:eastAsia="Calibri" w:hAnsi="Calibri" w:cs="Arial"/>
                      <w:bCs/>
                      <w:sz w:val="22"/>
                      <w:szCs w:val="22"/>
                      <w:highlight w:val="yellow"/>
                    </w:rPr>
                    <w:t>[à compléter]</w:t>
                  </w:r>
                  <w:r w:rsidRPr="007A52ED">
                    <w:rPr>
                      <w:rFonts w:ascii="Calibri" w:eastAsia="Calibri" w:hAnsi="Calibri" w:cs="Arial"/>
                      <w:bCs/>
                      <w:sz w:val="22"/>
                      <w:szCs w:val="22"/>
                    </w:rPr>
                    <w:t xml:space="preserve"> </w:t>
                  </w:r>
                  <w:r w:rsidRPr="007A52ED">
                    <w:rPr>
                      <w:rFonts w:ascii="Calibri" w:eastAsia="Calibri" w:hAnsi="Calibri"/>
                      <w:sz w:val="22"/>
                      <w:szCs w:val="22"/>
                    </w:rPr>
                    <w:t>et plus précisément sur la question</w:t>
                  </w:r>
                  <w:r w:rsidRPr="007A52ED">
                    <w:rPr>
                      <w:rFonts w:ascii="Calibri" w:eastAsia="Calibri" w:hAnsi="Calibri" w:cs="Arial"/>
                      <w:bCs/>
                      <w:sz w:val="22"/>
                      <w:szCs w:val="22"/>
                    </w:rPr>
                    <w:t xml:space="preserve"> </w:t>
                  </w:r>
                  <w:r w:rsidRPr="007A52ED">
                    <w:rPr>
                      <w:rFonts w:ascii="Calibri" w:eastAsia="Calibri" w:hAnsi="Calibri" w:cs="Arial"/>
                      <w:bCs/>
                      <w:sz w:val="22"/>
                      <w:szCs w:val="22"/>
                      <w:highlight w:val="yellow"/>
                    </w:rPr>
                    <w:t>[à compléter].</w:t>
                  </w:r>
                </w:p>
              </w:tc>
            </w:tr>
          </w:tbl>
          <w:p w:rsidR="009E20F3" w:rsidRPr="007A52ED" w:rsidRDefault="00807597" w:rsidP="007A52ED">
            <w:pPr>
              <w:tabs>
                <w:tab w:val="left" w:pos="705"/>
              </w:tabs>
              <w:jc w:val="both"/>
              <w:rPr>
                <w:rFonts w:ascii="Calibri" w:eastAsia="Calibri" w:hAnsi="Calibri" w:cs="Arial"/>
                <w:bCs/>
                <w:sz w:val="22"/>
                <w:szCs w:val="22"/>
              </w:rPr>
            </w:pPr>
            <w:r w:rsidRPr="007A52ED">
              <w:rPr>
                <w:rFonts w:ascii="Calibri" w:eastAsia="Calibri" w:hAnsi="Calibri"/>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807597" w:rsidRPr="007A52ED" w:rsidTr="007A52ED">
              <w:tc>
                <w:tcPr>
                  <w:tcW w:w="8873" w:type="dxa"/>
                </w:tcPr>
                <w:p w:rsidR="00C943F2" w:rsidRPr="007A52ED" w:rsidRDefault="00807597" w:rsidP="007A52ED">
                  <w:pPr>
                    <w:tabs>
                      <w:tab w:val="left" w:pos="705"/>
                    </w:tabs>
                    <w:jc w:val="both"/>
                    <w:rPr>
                      <w:rFonts w:ascii="Calibri" w:eastAsia="Calibri" w:hAnsi="Calibri"/>
                    </w:rPr>
                  </w:pPr>
                  <w:r w:rsidRPr="007A52ED">
                    <w:rPr>
                      <w:rFonts w:ascii="Calibri" w:eastAsia="Calibri" w:hAnsi="Calibri" w:cs="Arial"/>
                      <w:bCs/>
                      <w:sz w:val="22"/>
                      <w:szCs w:val="22"/>
                      <w:highlight w:val="cyan"/>
                    </w:rPr>
                    <w:t>B2)</w:t>
                  </w:r>
                  <w:r w:rsidRPr="007A52ED">
                    <w:rPr>
                      <w:rFonts w:ascii="Calibri" w:eastAsia="Calibri" w:hAnsi="Calibri"/>
                      <w:sz w:val="22"/>
                      <w:szCs w:val="22"/>
                    </w:rPr>
                    <w:t xml:space="preserve"> </w:t>
                  </w:r>
                  <w:r w:rsidR="00C943F2" w:rsidRPr="007A52ED">
                    <w:rPr>
                      <w:rFonts w:ascii="Calibri" w:eastAsia="Calibri" w:hAnsi="Calibri"/>
                      <w:highlight w:val="lightGray"/>
                    </w:rPr>
                    <w:t>Choisissez B2) s’il s’agit d’une consultance d’aide à la rédaction de textes normatifs.</w:t>
                  </w:r>
                </w:p>
                <w:p w:rsidR="00F938E6" w:rsidRPr="007A52ED" w:rsidRDefault="00807597" w:rsidP="007A52ED">
                  <w:pPr>
                    <w:tabs>
                      <w:tab w:val="left" w:pos="705"/>
                    </w:tabs>
                    <w:jc w:val="both"/>
                    <w:rPr>
                      <w:rFonts w:ascii="Calibri" w:eastAsia="Calibri" w:hAnsi="Calibri"/>
                      <w:sz w:val="22"/>
                      <w:szCs w:val="22"/>
                    </w:rPr>
                  </w:pPr>
                  <w:r w:rsidRPr="007A52ED">
                    <w:rPr>
                      <w:rFonts w:ascii="Calibri" w:eastAsia="Calibri" w:hAnsi="Calibri"/>
                      <w:sz w:val="22"/>
                      <w:szCs w:val="22"/>
                    </w:rPr>
                    <w:t xml:space="preserve">La mission de l’avocat consiste en une consultation juridique dans la matière </w:t>
                  </w:r>
                  <w:r w:rsidRPr="007A52ED">
                    <w:rPr>
                      <w:rFonts w:ascii="Calibri" w:eastAsia="Calibri" w:hAnsi="Calibri" w:cs="Arial"/>
                      <w:bCs/>
                      <w:color w:val="000000"/>
                      <w:sz w:val="22"/>
                      <w:szCs w:val="22"/>
                      <w:highlight w:val="yellow"/>
                    </w:rPr>
                    <w:t>[à compléter]</w:t>
                  </w:r>
                  <w:r w:rsidRPr="007A52ED">
                    <w:rPr>
                      <w:rFonts w:ascii="Calibri" w:eastAsia="Calibri" w:hAnsi="Calibri" w:cs="Arial"/>
                      <w:bCs/>
                      <w:color w:val="000000"/>
                      <w:sz w:val="22"/>
                      <w:szCs w:val="22"/>
                    </w:rPr>
                    <w:t xml:space="preserve"> </w:t>
                  </w:r>
                  <w:r w:rsidRPr="007A52ED">
                    <w:rPr>
                      <w:rFonts w:ascii="Calibri" w:eastAsia="Calibri" w:hAnsi="Calibri"/>
                      <w:sz w:val="22"/>
                      <w:szCs w:val="22"/>
                    </w:rPr>
                    <w:t xml:space="preserve">et plus précisément sur une aide à la rédaction du texte normatif </w:t>
                  </w:r>
                  <w:r w:rsidRPr="007A52ED">
                    <w:rPr>
                      <w:rFonts w:ascii="Calibri" w:eastAsia="Calibri" w:hAnsi="Calibri" w:cs="Arial"/>
                      <w:bCs/>
                      <w:color w:val="000000"/>
                      <w:sz w:val="22"/>
                      <w:szCs w:val="22"/>
                      <w:highlight w:val="yellow"/>
                    </w:rPr>
                    <w:t>[à compléter par l’identification du texte + joindre le texte</w:t>
                  </w:r>
                  <w:r w:rsidR="00C65FBE">
                    <w:rPr>
                      <w:rFonts w:ascii="Calibri" w:eastAsia="Calibri" w:hAnsi="Calibri" w:cs="Arial"/>
                      <w:bCs/>
                      <w:color w:val="000000"/>
                      <w:sz w:val="22"/>
                      <w:szCs w:val="22"/>
                      <w:highlight w:val="yellow"/>
                    </w:rPr>
                    <w:t xml:space="preserve"> le cas échéant</w:t>
                  </w:r>
                  <w:r w:rsidRPr="007A52ED">
                    <w:rPr>
                      <w:rFonts w:ascii="Calibri" w:eastAsia="Calibri" w:hAnsi="Calibri" w:cs="Arial"/>
                      <w:bCs/>
                      <w:color w:val="000000"/>
                      <w:sz w:val="22"/>
                      <w:szCs w:val="22"/>
                      <w:highlight w:val="yellow"/>
                    </w:rPr>
                    <w:t>]</w:t>
                  </w:r>
                  <w:r w:rsidRPr="007A52ED">
                    <w:rPr>
                      <w:rFonts w:ascii="Calibri" w:eastAsia="Calibri" w:hAnsi="Calibri"/>
                      <w:sz w:val="22"/>
                      <w:szCs w:val="22"/>
                    </w:rPr>
                    <w:t>.</w:t>
                  </w:r>
                </w:p>
              </w:tc>
            </w:tr>
          </w:tbl>
          <w:p w:rsidR="0023789F" w:rsidRPr="007A52ED" w:rsidRDefault="0023789F" w:rsidP="007A52ED">
            <w:pPr>
              <w:tabs>
                <w:tab w:val="left" w:pos="705"/>
              </w:tabs>
              <w:jc w:val="both"/>
              <w:rPr>
                <w:rFonts w:ascii="Calibri" w:eastAsia="Calibri" w:hAnsi="Calibri" w:cs="Arial"/>
                <w:bCs/>
                <w:color w:val="000000"/>
              </w:rPr>
            </w:pPr>
          </w:p>
        </w:tc>
      </w:tr>
    </w:tbl>
    <w:p w:rsidR="009E20F3" w:rsidRDefault="009E20F3" w:rsidP="009E20F3">
      <w:pPr>
        <w:jc w:val="both"/>
        <w:rPr>
          <w:rFonts w:ascii="Calibri" w:hAnsi="Calibri"/>
          <w:color w:val="FF0000"/>
          <w:sz w:val="22"/>
          <w:szCs w:val="22"/>
        </w:rPr>
      </w:pPr>
    </w:p>
    <w:p w:rsidR="00181E3E" w:rsidRPr="00181E3E" w:rsidRDefault="001752DC" w:rsidP="008748C7">
      <w:pPr>
        <w:jc w:val="both"/>
        <w:rPr>
          <w:rFonts w:ascii="Calibri" w:hAnsi="Calibri" w:cs="Arial"/>
          <w:b/>
          <w:bCs/>
          <w:color w:val="000000"/>
          <w:sz w:val="22"/>
          <w:szCs w:val="22"/>
        </w:rPr>
      </w:pPr>
      <w:r>
        <w:rPr>
          <w:rFonts w:ascii="Calibri" w:hAnsi="Calibri" w:cs="Arial"/>
          <w:b/>
          <w:bCs/>
          <w:color w:val="000000"/>
          <w:sz w:val="22"/>
          <w:szCs w:val="22"/>
        </w:rPr>
        <w:lastRenderedPageBreak/>
        <w:t>Choix de l’adjudicataire</w:t>
      </w:r>
      <w:r w:rsidR="002B2C0B">
        <w:rPr>
          <w:rStyle w:val="Appelnotedebasdep"/>
          <w:rFonts w:ascii="Calibri" w:hAnsi="Calibri" w:cs="Arial"/>
          <w:b/>
          <w:bCs/>
          <w:color w:val="000000"/>
          <w:sz w:val="22"/>
          <w:szCs w:val="22"/>
        </w:rPr>
        <w:footnoteReference w:id="2"/>
      </w:r>
    </w:p>
    <w:p w:rsidR="00181E3E" w:rsidRDefault="00181E3E" w:rsidP="00181E3E">
      <w:pPr>
        <w:pBdr>
          <w:bottom w:val="single" w:sz="4" w:space="1" w:color="auto"/>
        </w:pBdr>
        <w:jc w:val="both"/>
        <w:rPr>
          <w:rFonts w:ascii="Calibri" w:hAnsi="Calibri" w:cs="Arial"/>
          <w:bCs/>
          <w:color w:val="000000"/>
          <w:sz w:val="22"/>
          <w:szCs w:val="22"/>
        </w:rPr>
      </w:pPr>
    </w:p>
    <w:p w:rsidR="009C7281" w:rsidRDefault="009C7281" w:rsidP="009C7281">
      <w:pPr>
        <w:pStyle w:val="Sansinterligne"/>
        <w:jc w:val="both"/>
        <w:rPr>
          <w:sz w:val="20"/>
          <w:szCs w:val="20"/>
          <w:highlight w:val="gree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6F110E" w:rsidRPr="007A52ED" w:rsidTr="007A52ED">
        <w:tc>
          <w:tcPr>
            <w:tcW w:w="9104" w:type="dxa"/>
          </w:tcPr>
          <w:p w:rsidR="00C943F2" w:rsidRPr="007A52ED" w:rsidRDefault="00C943F2" w:rsidP="007A52ED">
            <w:pPr>
              <w:pStyle w:val="Sansinterligne"/>
              <w:jc w:val="both"/>
              <w:rPr>
                <w:sz w:val="20"/>
                <w:szCs w:val="20"/>
                <w:highlight w:val="lightGray"/>
              </w:rPr>
            </w:pPr>
            <w:r w:rsidRPr="007A52ED">
              <w:rPr>
                <w:highlight w:val="cyan"/>
              </w:rPr>
              <w:t>A)</w:t>
            </w:r>
            <w:r w:rsidRPr="007A52ED">
              <w:rPr>
                <w:sz w:val="20"/>
                <w:szCs w:val="20"/>
              </w:rPr>
              <w:t xml:space="preserve"> </w:t>
            </w:r>
            <w:r w:rsidR="006F110E" w:rsidRPr="007A52ED">
              <w:rPr>
                <w:sz w:val="20"/>
                <w:szCs w:val="20"/>
                <w:highlight w:val="lightGray"/>
              </w:rPr>
              <w:t>Choisissez A) s’il s’agit d’un marché portant sur du contentieux</w:t>
            </w:r>
            <w:r w:rsidR="00F40C2E">
              <w:rPr>
                <w:sz w:val="20"/>
                <w:szCs w:val="20"/>
                <w:highlight w:val="lightGray"/>
              </w:rPr>
              <w:t>.</w:t>
            </w:r>
            <w:r w:rsidR="00E54DED" w:rsidRPr="007A52ED">
              <w:rPr>
                <w:sz w:val="20"/>
                <w:szCs w:val="20"/>
                <w:highlight w:val="lightGray"/>
              </w:rPr>
              <w:t xml:space="preserve"> </w:t>
            </w:r>
          </w:p>
          <w:p w:rsidR="00C943F2" w:rsidRPr="007A52ED" w:rsidRDefault="00C943F2" w:rsidP="007A52ED">
            <w:pPr>
              <w:pStyle w:val="Sansinterligne"/>
              <w:jc w:val="both"/>
              <w:rPr>
                <w:sz w:val="20"/>
                <w:szCs w:val="20"/>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C943F2" w:rsidRPr="007A52ED" w:rsidTr="007A52ED">
              <w:tc>
                <w:tcPr>
                  <w:tcW w:w="8873" w:type="dxa"/>
                </w:tcPr>
                <w:p w:rsidR="00C943F2" w:rsidRPr="007A52ED" w:rsidRDefault="00C943F2" w:rsidP="007A52ED">
                  <w:pPr>
                    <w:pStyle w:val="Sansinterligne"/>
                    <w:jc w:val="both"/>
                    <w:rPr>
                      <w:sz w:val="20"/>
                      <w:szCs w:val="20"/>
                      <w:highlight w:val="lightGray"/>
                    </w:rPr>
                  </w:pPr>
                  <w:r w:rsidRPr="007A52ED">
                    <w:rPr>
                      <w:highlight w:val="cyan"/>
                    </w:rPr>
                    <w:t>A1)</w:t>
                  </w:r>
                  <w:r w:rsidRPr="007A52ED">
                    <w:rPr>
                      <w:sz w:val="20"/>
                      <w:szCs w:val="20"/>
                    </w:rPr>
                    <w:t xml:space="preserve"> </w:t>
                  </w:r>
                  <w:r w:rsidRPr="007A52ED">
                    <w:rPr>
                      <w:sz w:val="20"/>
                      <w:szCs w:val="20"/>
                      <w:highlight w:val="lightGray"/>
                    </w:rPr>
                    <w:t>Choisissez A1) si vous ne souhaitez instaurer qu’un seul critère de choix, à savoir le prix.</w:t>
                  </w:r>
                </w:p>
                <w:p w:rsidR="00C943F2" w:rsidRDefault="00C943F2" w:rsidP="007A52ED">
                  <w:pPr>
                    <w:pStyle w:val="Sansinterligne"/>
                    <w:jc w:val="both"/>
                  </w:pPr>
                  <w:r w:rsidRPr="00F4686C">
                    <w:t xml:space="preserve">Le marché sera attribué au soumissionnaire qui aura remis l’offre </w:t>
                  </w:r>
                  <w:r>
                    <w:t>économiquement la plus avantageuse sur la base du prix (TVAC) sachant que le prix consiste en :</w:t>
                  </w:r>
                </w:p>
                <w:p w:rsidR="00C943F2" w:rsidRDefault="00C943F2" w:rsidP="007A52ED">
                  <w:pPr>
                    <w:pStyle w:val="Sansinterligne"/>
                    <w:jc w:val="both"/>
                  </w:pPr>
                  <w:r w:rsidRPr="007A52ED">
                    <w:rPr>
                      <w:color w:val="0070C0"/>
                    </w:rPr>
                    <w:t>1/</w:t>
                  </w:r>
                  <w:r>
                    <w:t xml:space="preserve"> un taux horaire </w:t>
                  </w:r>
                  <w:r w:rsidRPr="00705CFC">
                    <w:t>forfaitaire unique</w:t>
                  </w:r>
                  <w:r>
                    <w:t xml:space="preserve">. </w:t>
                  </w:r>
                </w:p>
                <w:p w:rsidR="00C943F2" w:rsidRDefault="00C943F2" w:rsidP="007A52ED">
                  <w:pPr>
                    <w:pStyle w:val="Sansinterligne"/>
                    <w:jc w:val="both"/>
                  </w:pPr>
                  <w:r w:rsidRPr="007A52ED">
                    <w:rPr>
                      <w:color w:val="0070C0"/>
                    </w:rPr>
                    <w:t>OU 2/</w:t>
                  </w:r>
                  <w:r w:rsidRPr="00705CFC">
                    <w:t xml:space="preserve"> </w:t>
                  </w:r>
                  <w:r>
                    <w:t xml:space="preserve">en un </w:t>
                  </w:r>
                  <w:r w:rsidRPr="00705CFC">
                    <w:t>forfait global couvrant l’exécution de l’ensemb</w:t>
                  </w:r>
                  <w:r>
                    <w:t xml:space="preserve">le de l’objet du présent marché. </w:t>
                  </w:r>
                </w:p>
                <w:p w:rsidR="00C943F2" w:rsidRDefault="00C943F2" w:rsidP="007A52ED">
                  <w:pPr>
                    <w:pStyle w:val="Sansinterligne"/>
                    <w:jc w:val="both"/>
                  </w:pPr>
                  <w:r w:rsidRPr="007A52ED">
                    <w:rPr>
                      <w:color w:val="0070C0"/>
                    </w:rPr>
                    <w:t>OU 3/</w:t>
                  </w:r>
                  <w:r>
                    <w:t xml:space="preserve"> la somme de quatre taux forfaitaires couvrant les différentes phases juridictionnelles potentielles d’un dossier, à savoir : mise en demeure (forfait I), phase pré-juridictionnelle (forfait II), 1</w:t>
                  </w:r>
                  <w:r w:rsidRPr="007A52ED">
                    <w:rPr>
                      <w:vertAlign w:val="superscript"/>
                    </w:rPr>
                    <w:t>ère</w:t>
                  </w:r>
                  <w:r>
                    <w:t xml:space="preserve"> instance (forfait III) et degré d’appel (forfait IV). </w:t>
                  </w:r>
                </w:p>
                <w:p w:rsidR="00C943F2" w:rsidRPr="00705CFC" w:rsidRDefault="00C943F2" w:rsidP="007A52ED">
                  <w:pPr>
                    <w:pStyle w:val="Sansinterligne"/>
                    <w:jc w:val="both"/>
                  </w:pPr>
                  <w:r w:rsidRPr="007A52ED">
                    <w:rPr>
                      <w:color w:val="0070C0"/>
                    </w:rPr>
                    <w:t>OU 4/</w:t>
                  </w:r>
                  <w:r w:rsidRPr="002B2C0B">
                    <w:t xml:space="preserve"> </w:t>
                  </w:r>
                  <w:r>
                    <w:t>un forfait global pour gestion complète du contentieux devant le Conseil d’état. Le forfait étant attribué par procédure devant le Conseil d’Etat.</w:t>
                  </w:r>
                </w:p>
                <w:p w:rsidR="00C943F2" w:rsidRPr="00C943F2" w:rsidRDefault="00C943F2" w:rsidP="007A52ED">
                  <w:pPr>
                    <w:pStyle w:val="Sansinterligne"/>
                    <w:jc w:val="both"/>
                  </w:pPr>
                  <w:r w:rsidRPr="007A52ED">
                    <w:rPr>
                      <w:rFonts w:cs="Arial"/>
                      <w:color w:val="000000"/>
                      <w:sz w:val="20"/>
                      <w:szCs w:val="20"/>
                      <w:highlight w:val="lightGray"/>
                    </w:rPr>
                    <w:t>Si vous utilisez le présent modèle pour une procédure devant la Cour de Cassation, la Cour Constitutionnelle, la Cour européenne des droits de l’Homme ou la Cour de Justice de l'Union européenne, nous vous conseillons de procéder par « forfait global couvrant l’exécution de l’ensemble de l’objet du présent marché ».</w:t>
                  </w:r>
                </w:p>
              </w:tc>
            </w:tr>
          </w:tbl>
          <w:p w:rsidR="00C943F2" w:rsidRPr="007A52ED" w:rsidRDefault="00C943F2" w:rsidP="007A52ED">
            <w:pPr>
              <w:pStyle w:val="Sansinterligne"/>
              <w:jc w:val="both"/>
              <w:rPr>
                <w:highlight w:val="cy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D4528A" w:rsidRPr="007A52ED" w:rsidTr="007A52ED">
              <w:tc>
                <w:tcPr>
                  <w:tcW w:w="8873" w:type="dxa"/>
                </w:tcPr>
                <w:p w:rsidR="00D4528A" w:rsidRPr="007A52ED" w:rsidRDefault="00D4528A" w:rsidP="007A52ED">
                  <w:pPr>
                    <w:pStyle w:val="Sansinterligne"/>
                    <w:jc w:val="both"/>
                    <w:rPr>
                      <w:sz w:val="20"/>
                      <w:szCs w:val="20"/>
                      <w:highlight w:val="lightGray"/>
                    </w:rPr>
                  </w:pPr>
                  <w:r w:rsidRPr="007A52ED">
                    <w:rPr>
                      <w:highlight w:val="cyan"/>
                    </w:rPr>
                    <w:t>A2)</w:t>
                  </w:r>
                  <w:r w:rsidRPr="007A52ED">
                    <w:rPr>
                      <w:sz w:val="20"/>
                      <w:szCs w:val="20"/>
                      <w:highlight w:val="lightGray"/>
                    </w:rPr>
                    <w:t xml:space="preserve"> Choisissez A2) si vous souhaitez instaurer plusieurs critère</w:t>
                  </w:r>
                  <w:r w:rsidR="00484A73" w:rsidRPr="007A52ED">
                    <w:rPr>
                      <w:sz w:val="20"/>
                      <w:szCs w:val="20"/>
                      <w:highlight w:val="lightGray"/>
                    </w:rPr>
                    <w:t>s</w:t>
                  </w:r>
                  <w:r w:rsidRPr="007A52ED">
                    <w:rPr>
                      <w:sz w:val="20"/>
                      <w:szCs w:val="20"/>
                      <w:highlight w:val="lightGray"/>
                    </w:rPr>
                    <w:t xml:space="preserve"> de choix.</w:t>
                  </w:r>
                </w:p>
                <w:p w:rsidR="00D4528A" w:rsidRDefault="00D4528A" w:rsidP="007A52ED">
                  <w:pPr>
                    <w:pStyle w:val="Sansinterligne"/>
                    <w:jc w:val="both"/>
                  </w:pPr>
                  <w:r w:rsidRPr="00F4686C">
                    <w:t xml:space="preserve">Le marché sera attribué au soumissionnaire qui aura remis l’offre </w:t>
                  </w:r>
                  <w:r>
                    <w:t xml:space="preserve">économiquement la plus avantageuse sur la base des </w:t>
                  </w:r>
                  <w:r w:rsidR="003147FB">
                    <w:t>critères</w:t>
                  </w:r>
                  <w:r>
                    <w:t xml:space="preserve"> suivants :</w:t>
                  </w:r>
                </w:p>
                <w:p w:rsidR="00D4528A" w:rsidRDefault="00D4528A" w:rsidP="007A52ED">
                  <w:pPr>
                    <w:pStyle w:val="Sansinterligne"/>
                    <w:tabs>
                      <w:tab w:val="left" w:pos="851"/>
                    </w:tabs>
                    <w:jc w:val="both"/>
                  </w:pPr>
                  <w:r w:rsidRPr="007A52ED">
                    <w:rPr>
                      <w:u w:val="single"/>
                    </w:rPr>
                    <w:t>Critère 1 : Le prix (TVAC), sachant que le prix consiste en</w:t>
                  </w:r>
                  <w:r>
                    <w:t xml:space="preserve"> :</w:t>
                  </w:r>
                  <w:r w:rsidRPr="0033512F">
                    <w:t xml:space="preserve"> </w:t>
                  </w:r>
                </w:p>
                <w:p w:rsidR="00D4528A" w:rsidRDefault="00D4528A" w:rsidP="007A52ED">
                  <w:pPr>
                    <w:pStyle w:val="Sansinterligne"/>
                    <w:jc w:val="both"/>
                  </w:pPr>
                  <w:r w:rsidRPr="007A52ED">
                    <w:rPr>
                      <w:color w:val="0070C0"/>
                    </w:rPr>
                    <w:t>1/</w:t>
                  </w:r>
                  <w:r>
                    <w:t xml:space="preserve">d’un taux horaire </w:t>
                  </w:r>
                  <w:r w:rsidRPr="00705CFC">
                    <w:t>forfaitaire unique</w:t>
                  </w:r>
                  <w:r>
                    <w:t xml:space="preserve">. </w:t>
                  </w:r>
                </w:p>
                <w:p w:rsidR="00D4528A" w:rsidRDefault="00D4528A" w:rsidP="007A52ED">
                  <w:pPr>
                    <w:pStyle w:val="Sansinterligne"/>
                    <w:jc w:val="both"/>
                  </w:pPr>
                  <w:r w:rsidRPr="007A52ED">
                    <w:rPr>
                      <w:color w:val="0070C0"/>
                    </w:rPr>
                    <w:t>OU 2/</w:t>
                  </w:r>
                  <w:r>
                    <w:t>d’un</w:t>
                  </w:r>
                  <w:r w:rsidRPr="00705CFC">
                    <w:t xml:space="preserve"> forfait global couvrant l’exécution de l’ensemble de l’objet du présent marché</w:t>
                  </w:r>
                  <w:r>
                    <w:t xml:space="preserve">. </w:t>
                  </w:r>
                </w:p>
                <w:p w:rsidR="00D4528A" w:rsidRDefault="00D4528A" w:rsidP="007A52ED">
                  <w:pPr>
                    <w:pStyle w:val="Sansinterligne"/>
                    <w:jc w:val="both"/>
                  </w:pPr>
                  <w:r w:rsidRPr="007A52ED">
                    <w:rPr>
                      <w:color w:val="0070C0"/>
                    </w:rPr>
                    <w:t>OU 3/</w:t>
                  </w:r>
                  <w:r>
                    <w:t>de la somme des quatre forfaits couvrant les différentes phases juridictionnelles potentielles d’un dossier, à savoir : mise en demeure (forfait I), phase pré-juridictionnelle (forfait II), 1</w:t>
                  </w:r>
                  <w:r w:rsidRPr="007A52ED">
                    <w:rPr>
                      <w:vertAlign w:val="superscript"/>
                    </w:rPr>
                    <w:t>ère</w:t>
                  </w:r>
                  <w:r>
                    <w:t xml:space="preserve"> instance (forfait III) et degré d’appel (forfait IV). </w:t>
                  </w:r>
                </w:p>
                <w:p w:rsidR="00D4528A" w:rsidRDefault="00D4528A" w:rsidP="007A52ED">
                  <w:pPr>
                    <w:pStyle w:val="Sansinterligne"/>
                    <w:jc w:val="both"/>
                  </w:pPr>
                  <w:r w:rsidRPr="007A52ED">
                    <w:rPr>
                      <w:color w:val="0070C0"/>
                    </w:rPr>
                    <w:t>OU 4/</w:t>
                  </w:r>
                  <w:r>
                    <w:t xml:space="preserve">d’un forfait global pour gestion complète du contentieux devant le Conseil d’état. Le forfait étant attribué par procédure devant le Conseil d’Etat. </w:t>
                  </w:r>
                </w:p>
                <w:p w:rsidR="00D4528A" w:rsidRPr="007A52ED" w:rsidRDefault="00D4528A" w:rsidP="007A52ED">
                  <w:pPr>
                    <w:pStyle w:val="Sansinterligne"/>
                    <w:jc w:val="both"/>
                    <w:rPr>
                      <w:rFonts w:cs="Arial"/>
                      <w:color w:val="000000"/>
                      <w:sz w:val="20"/>
                      <w:szCs w:val="20"/>
                      <w:highlight w:val="lightGray"/>
                    </w:rPr>
                  </w:pPr>
                  <w:r w:rsidRPr="007A52ED">
                    <w:rPr>
                      <w:rFonts w:cs="Arial"/>
                      <w:color w:val="000000"/>
                      <w:sz w:val="20"/>
                      <w:szCs w:val="20"/>
                      <w:highlight w:val="lightGray"/>
                    </w:rPr>
                    <w:t>Si vous utilisez le présent modèle pour une procédure devant la Cour de Cassation, la Cour Constitutionnelle, la Cour européenne des droits de l’Homme ou la Cour de Justice de l'Union européenne, nous vous conseillons de procéder par « forfait global couvrant l’exécution de l’ensemble de l’objet du présent marché ».</w:t>
                  </w:r>
                </w:p>
                <w:p w:rsidR="00D4528A" w:rsidRPr="007A52ED" w:rsidRDefault="00D4528A" w:rsidP="007A52ED">
                  <w:pPr>
                    <w:tabs>
                      <w:tab w:val="left" w:pos="851"/>
                    </w:tabs>
                    <w:autoSpaceDE w:val="0"/>
                    <w:autoSpaceDN w:val="0"/>
                    <w:adjustRightInd w:val="0"/>
                    <w:spacing w:before="60"/>
                    <w:jc w:val="both"/>
                    <w:rPr>
                      <w:rFonts w:ascii="Calibri" w:eastAsia="Calibri" w:hAnsi="Calibri"/>
                      <w:sz w:val="22"/>
                      <w:szCs w:val="22"/>
                    </w:rPr>
                  </w:pPr>
                  <w:r w:rsidRPr="007A52ED">
                    <w:rPr>
                      <w:rFonts w:ascii="Calibri" w:eastAsia="Calibri" w:hAnsi="Calibri"/>
                      <w:sz w:val="22"/>
                      <w:szCs w:val="22"/>
                      <w:highlight w:val="yellow"/>
                    </w:rPr>
                    <w:t>[Indiquer la pondération de ce critère et la manière de l’évaluer, par exemple à l’aide d’une formule]</w:t>
                  </w:r>
                  <w:r w:rsidRPr="007A52ED">
                    <w:rPr>
                      <w:rFonts w:ascii="Calibri" w:eastAsia="Calibri" w:hAnsi="Calibri"/>
                      <w:sz w:val="22"/>
                      <w:szCs w:val="22"/>
                    </w:rPr>
                    <w:t xml:space="preserve"> </w:t>
                  </w:r>
                </w:p>
                <w:p w:rsidR="00D4528A" w:rsidRPr="007A52ED" w:rsidRDefault="00D4528A" w:rsidP="007A52ED">
                  <w:pPr>
                    <w:tabs>
                      <w:tab w:val="left" w:pos="851"/>
                    </w:tabs>
                    <w:autoSpaceDE w:val="0"/>
                    <w:autoSpaceDN w:val="0"/>
                    <w:adjustRightInd w:val="0"/>
                    <w:spacing w:before="60"/>
                    <w:jc w:val="both"/>
                    <w:rPr>
                      <w:rFonts w:ascii="Calibri" w:eastAsia="Calibri" w:hAnsi="Calibri"/>
                      <w:highlight w:val="lightGray"/>
                    </w:rPr>
                  </w:pPr>
                  <w:r w:rsidRPr="007A52ED">
                    <w:rPr>
                      <w:rFonts w:ascii="Calibri" w:eastAsia="Calibri" w:hAnsi="Calibri"/>
                      <w:highlight w:val="lightGray"/>
                    </w:rPr>
                    <w:t xml:space="preserve">Vous n’êtes pas obligé de pondérer ou fixer le degré d’importance </w:t>
                  </w:r>
                  <w:r w:rsidR="003147FB">
                    <w:rPr>
                      <w:rFonts w:ascii="Calibri" w:eastAsia="Calibri" w:hAnsi="Calibri"/>
                      <w:highlight w:val="lightGray"/>
                    </w:rPr>
                    <w:t>de</w:t>
                  </w:r>
                  <w:r w:rsidRPr="007A52ED">
                    <w:rPr>
                      <w:rFonts w:ascii="Calibri" w:eastAsia="Calibri" w:hAnsi="Calibri"/>
                      <w:highlight w:val="lightGray"/>
                    </w:rPr>
                    <w:t xml:space="preserve"> vos critères de choix mais le pouvoir adjudicateur ne peut modifier le « poids » accordé aux critères de choix en cours de procédure. Cela serait contraire aux principes généraux fondateurs des marchés publics. </w:t>
                  </w:r>
                </w:p>
                <w:p w:rsidR="00D4528A" w:rsidRPr="007A52ED" w:rsidRDefault="00D4528A" w:rsidP="007A52ED">
                  <w:pPr>
                    <w:pStyle w:val="Sansinterligne"/>
                    <w:jc w:val="both"/>
                    <w:rPr>
                      <w:highlight w:val="yellow"/>
                    </w:rPr>
                  </w:pPr>
                  <w:r w:rsidRPr="007A52ED">
                    <w:rPr>
                      <w:u w:val="single"/>
                    </w:rPr>
                    <w:t>Critère 2</w:t>
                  </w:r>
                  <w:r w:rsidRPr="00D4528A">
                    <w:t xml:space="preserve"> : </w:t>
                  </w:r>
                  <w:r w:rsidRPr="007A52ED">
                    <w:rPr>
                      <w:highlight w:val="yellow"/>
                    </w:rPr>
                    <w:t>[Indiquer le/les autre(s) critère(s) de choix souhaité(s) (exemples : la disponibilité, l’organisation/méthode de travail de l’avocat et de sa structure)]</w:t>
                  </w:r>
                </w:p>
                <w:p w:rsidR="00D4528A" w:rsidRPr="003F2448" w:rsidRDefault="00D4528A" w:rsidP="003F2448">
                  <w:pPr>
                    <w:pStyle w:val="Sansinterligne"/>
                    <w:jc w:val="both"/>
                    <w:rPr>
                      <w:highlight w:val="yellow"/>
                    </w:rPr>
                  </w:pPr>
                  <w:r w:rsidRPr="007A52ED">
                    <w:rPr>
                      <w:highlight w:val="yellow"/>
                    </w:rPr>
                    <w:t>[Indiquer leur pondération +  la manière dont le pouvoir adjudicateur va apprécier ces critères + les documents qui doivent être joints à la soumission de l’avocat au regard de ce/ces critère(s) de choix]</w:t>
                  </w:r>
                </w:p>
              </w:tc>
            </w:tr>
          </w:tbl>
          <w:p w:rsidR="00A015D1" w:rsidRPr="007A52ED" w:rsidRDefault="00C943F2" w:rsidP="007A52ED">
            <w:pPr>
              <w:pStyle w:val="Sansinterligne"/>
              <w:jc w:val="both"/>
              <w:rPr>
                <w:rFonts w:cs="Arial"/>
                <w:color w:val="000000"/>
                <w:sz w:val="20"/>
                <w:szCs w:val="20"/>
              </w:rPr>
            </w:pPr>
            <w:r w:rsidRPr="00E54DED">
              <w:t xml:space="preserve"> </w:t>
            </w:r>
          </w:p>
        </w:tc>
      </w:tr>
    </w:tbl>
    <w:p w:rsidR="00E54DED" w:rsidRDefault="00E54DED" w:rsidP="006F110E">
      <w:pPr>
        <w:pStyle w:val="Sansinterligne"/>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920924" w:rsidRPr="007A52ED" w:rsidTr="007A52ED">
        <w:tc>
          <w:tcPr>
            <w:tcW w:w="9104" w:type="dxa"/>
          </w:tcPr>
          <w:p w:rsidR="00440DEB" w:rsidRPr="007A52ED" w:rsidRDefault="00440DEB" w:rsidP="007A52ED">
            <w:pPr>
              <w:pStyle w:val="Sansinterligne"/>
              <w:jc w:val="both"/>
              <w:rPr>
                <w:sz w:val="20"/>
                <w:szCs w:val="20"/>
                <w:highlight w:val="lightGray"/>
              </w:rPr>
            </w:pPr>
            <w:r w:rsidRPr="007A52ED">
              <w:rPr>
                <w:highlight w:val="cyan"/>
              </w:rPr>
              <w:t>B</w:t>
            </w:r>
            <w:r w:rsidR="00920924" w:rsidRPr="007A52ED">
              <w:rPr>
                <w:highlight w:val="cyan"/>
              </w:rPr>
              <w:t>)</w:t>
            </w:r>
            <w:r w:rsidR="00920924" w:rsidRPr="007A52ED">
              <w:rPr>
                <w:sz w:val="20"/>
                <w:szCs w:val="20"/>
              </w:rPr>
              <w:t xml:space="preserve"> </w:t>
            </w:r>
            <w:r w:rsidR="00920924" w:rsidRPr="007A52ED">
              <w:rPr>
                <w:sz w:val="20"/>
                <w:szCs w:val="20"/>
                <w:highlight w:val="lightGray"/>
              </w:rPr>
              <w:t xml:space="preserve">Choisissez </w:t>
            </w:r>
            <w:r w:rsidRPr="007A52ED">
              <w:rPr>
                <w:sz w:val="20"/>
                <w:szCs w:val="20"/>
                <w:highlight w:val="lightGray"/>
              </w:rPr>
              <w:t>B</w:t>
            </w:r>
            <w:r w:rsidR="00920924" w:rsidRPr="007A52ED">
              <w:rPr>
                <w:sz w:val="20"/>
                <w:szCs w:val="20"/>
                <w:highlight w:val="lightGray"/>
              </w:rPr>
              <w:t>) s’il s’agit d’un marché portant sur de la consultance juridique</w:t>
            </w:r>
            <w:r w:rsidR="00906192">
              <w:rPr>
                <w:sz w:val="20"/>
                <w:szCs w:val="20"/>
                <w:highlight w:val="lightGray"/>
              </w:rPr>
              <w:t>.</w:t>
            </w:r>
            <w:r w:rsidR="00920924" w:rsidRPr="007A52ED">
              <w:rPr>
                <w:sz w:val="20"/>
                <w:szCs w:val="20"/>
                <w:highlight w:val="lightGray"/>
              </w:rPr>
              <w:t xml:space="preserve"> </w:t>
            </w:r>
          </w:p>
          <w:p w:rsidR="00440DEB" w:rsidRPr="007A52ED" w:rsidRDefault="00440DEB" w:rsidP="007A52ED">
            <w:pPr>
              <w:pStyle w:val="Sansinterligne"/>
              <w:jc w:val="both"/>
              <w:rPr>
                <w:sz w:val="20"/>
                <w:szCs w:val="20"/>
                <w:highlight w:val="lightGray"/>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21705C" w:rsidRPr="007A52ED" w:rsidTr="007A52ED">
              <w:tc>
                <w:tcPr>
                  <w:tcW w:w="8873" w:type="dxa"/>
                </w:tcPr>
                <w:p w:rsidR="0021705C" w:rsidRPr="007A52ED" w:rsidRDefault="0021705C" w:rsidP="007A52ED">
                  <w:pPr>
                    <w:pStyle w:val="Sansinterligne"/>
                    <w:jc w:val="both"/>
                    <w:rPr>
                      <w:sz w:val="20"/>
                      <w:szCs w:val="20"/>
                      <w:highlight w:val="lightGray"/>
                    </w:rPr>
                  </w:pPr>
                  <w:r w:rsidRPr="007A52ED">
                    <w:rPr>
                      <w:highlight w:val="cyan"/>
                    </w:rPr>
                    <w:t xml:space="preserve">B1) </w:t>
                  </w:r>
                  <w:r w:rsidRPr="007A52ED">
                    <w:rPr>
                      <w:sz w:val="20"/>
                      <w:szCs w:val="20"/>
                      <w:highlight w:val="lightGray"/>
                    </w:rPr>
                    <w:t>Choisissez B1) si vous ne souhaitez instaurer qu’un seul critère de choix, à savoir le prix.</w:t>
                  </w:r>
                </w:p>
                <w:p w:rsidR="0021705C" w:rsidRDefault="0021705C" w:rsidP="007A52ED">
                  <w:pPr>
                    <w:pStyle w:val="Sansinterligne"/>
                    <w:jc w:val="both"/>
                  </w:pPr>
                  <w:r w:rsidRPr="00F4686C">
                    <w:lastRenderedPageBreak/>
                    <w:t xml:space="preserve">Le marché sera attribué au soumissionnaire qui aura remis l’offre </w:t>
                  </w:r>
                  <w:r>
                    <w:t>économiquement la plus avantageuse sur la base sur la base du prix (TVAC) sachant que le prix consiste en :</w:t>
                  </w:r>
                </w:p>
                <w:p w:rsidR="0021705C" w:rsidRDefault="0021705C" w:rsidP="007A52ED">
                  <w:pPr>
                    <w:pStyle w:val="Sansinterligne"/>
                    <w:jc w:val="both"/>
                  </w:pPr>
                  <w:r w:rsidRPr="007A52ED">
                    <w:rPr>
                      <w:color w:val="0070C0"/>
                    </w:rPr>
                    <w:t>1/</w:t>
                  </w:r>
                  <w:r>
                    <w:t xml:space="preserve"> un taux horaire </w:t>
                  </w:r>
                  <w:r w:rsidRPr="00705CFC">
                    <w:t xml:space="preserve">forfaitaire unique. </w:t>
                  </w:r>
                </w:p>
                <w:p w:rsidR="0021705C" w:rsidRPr="007A52ED" w:rsidRDefault="0021705C" w:rsidP="007A52ED">
                  <w:pPr>
                    <w:pStyle w:val="Sansinterligne"/>
                    <w:jc w:val="both"/>
                    <w:rPr>
                      <w:sz w:val="20"/>
                      <w:szCs w:val="20"/>
                      <w:highlight w:val="lightGray"/>
                    </w:rPr>
                  </w:pPr>
                  <w:r w:rsidRPr="007A52ED">
                    <w:rPr>
                      <w:color w:val="0070C0"/>
                    </w:rPr>
                    <w:t>OU 2/</w:t>
                  </w:r>
                  <w:r w:rsidRPr="00705CFC">
                    <w:t xml:space="preserve"> </w:t>
                  </w:r>
                  <w:r>
                    <w:t>un</w:t>
                  </w:r>
                  <w:r w:rsidRPr="00705CFC">
                    <w:t xml:space="preserve"> forfait global couvrant l’exécution de l’ensemble de l’objet du présent marché.</w:t>
                  </w:r>
                </w:p>
              </w:tc>
            </w:tr>
          </w:tbl>
          <w:p w:rsidR="0021705C" w:rsidRDefault="0021705C" w:rsidP="007A52ED">
            <w:pPr>
              <w:pStyle w:val="Sansinterligne"/>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73"/>
            </w:tblGrid>
            <w:tr w:rsidR="0021705C" w:rsidRPr="007A52ED" w:rsidTr="007A52ED">
              <w:tc>
                <w:tcPr>
                  <w:tcW w:w="8873" w:type="dxa"/>
                </w:tcPr>
                <w:p w:rsidR="0021705C" w:rsidRPr="007A52ED" w:rsidRDefault="0021705C" w:rsidP="007A52ED">
                  <w:pPr>
                    <w:pStyle w:val="Sansinterligne"/>
                    <w:jc w:val="both"/>
                    <w:rPr>
                      <w:sz w:val="20"/>
                      <w:szCs w:val="20"/>
                    </w:rPr>
                  </w:pPr>
                  <w:r w:rsidRPr="007A52ED">
                    <w:rPr>
                      <w:highlight w:val="cyan"/>
                    </w:rPr>
                    <w:t>B2)</w:t>
                  </w:r>
                  <w:r w:rsidRPr="007A52ED">
                    <w:rPr>
                      <w:sz w:val="20"/>
                      <w:szCs w:val="20"/>
                      <w:highlight w:val="lightGray"/>
                    </w:rPr>
                    <w:t xml:space="preserve"> Choisissez B2) si vous souhaitez instaurer plusieurs critères de choix.</w:t>
                  </w:r>
                </w:p>
                <w:p w:rsidR="0021705C" w:rsidRDefault="0021705C" w:rsidP="007A52ED">
                  <w:pPr>
                    <w:pStyle w:val="Sansinterligne"/>
                    <w:jc w:val="both"/>
                  </w:pPr>
                  <w:r w:rsidRPr="00F4686C">
                    <w:t xml:space="preserve">Le marché sera attribué au soumissionnaire qui aura remis l’offre </w:t>
                  </w:r>
                  <w:r>
                    <w:t>économiquement la plus avantageuse sur la base des éléments suivants :</w:t>
                  </w:r>
                </w:p>
                <w:p w:rsidR="0021705C" w:rsidRDefault="0021705C" w:rsidP="007A52ED">
                  <w:pPr>
                    <w:pStyle w:val="Sansinterligne"/>
                    <w:jc w:val="both"/>
                  </w:pPr>
                  <w:r w:rsidRPr="007A52ED">
                    <w:rPr>
                      <w:u w:val="single"/>
                    </w:rPr>
                    <w:t>Critère 1 : Le prix (TVAC), sachant que le prix consiste en</w:t>
                  </w:r>
                  <w:r>
                    <w:t xml:space="preserve"> :</w:t>
                  </w:r>
                </w:p>
                <w:p w:rsidR="0021705C" w:rsidRDefault="0021705C" w:rsidP="007A52ED">
                  <w:pPr>
                    <w:pStyle w:val="Sansinterligne"/>
                    <w:jc w:val="both"/>
                  </w:pPr>
                  <w:r w:rsidRPr="007A52ED">
                    <w:rPr>
                      <w:color w:val="0070C0"/>
                    </w:rPr>
                    <w:t>1/</w:t>
                  </w:r>
                  <w:r>
                    <w:t xml:space="preserve"> un taux horaire </w:t>
                  </w:r>
                  <w:r w:rsidRPr="00705CFC">
                    <w:t xml:space="preserve">forfaitaire unique. </w:t>
                  </w:r>
                </w:p>
                <w:p w:rsidR="0021705C" w:rsidRPr="007A52ED" w:rsidRDefault="0021705C" w:rsidP="007A52ED">
                  <w:pPr>
                    <w:pStyle w:val="Sansinterligne"/>
                    <w:jc w:val="both"/>
                    <w:rPr>
                      <w:sz w:val="20"/>
                      <w:szCs w:val="20"/>
                      <w:highlight w:val="yellow"/>
                    </w:rPr>
                  </w:pPr>
                  <w:r w:rsidRPr="007A52ED">
                    <w:rPr>
                      <w:color w:val="0070C0"/>
                    </w:rPr>
                    <w:t>OU 2/</w:t>
                  </w:r>
                  <w:r w:rsidRPr="00705CFC">
                    <w:t xml:space="preserve"> </w:t>
                  </w:r>
                  <w:r>
                    <w:t>un</w:t>
                  </w:r>
                  <w:r w:rsidRPr="00705CFC">
                    <w:t xml:space="preserve"> forfait global couvrant l’exécution de l’ensemble de l’objet du présent marché.</w:t>
                  </w:r>
                </w:p>
                <w:p w:rsidR="0021705C" w:rsidRPr="0021705C" w:rsidRDefault="0021705C" w:rsidP="007A52ED">
                  <w:pPr>
                    <w:pStyle w:val="Sansinterligne"/>
                    <w:jc w:val="both"/>
                  </w:pPr>
                  <w:r w:rsidRPr="007A52ED">
                    <w:rPr>
                      <w:highlight w:val="yellow"/>
                    </w:rPr>
                    <w:t>[Indiquer la pondération de ce critère et la manière de l’évaluer, par exemple à l’aide d’une formule]</w:t>
                  </w:r>
                  <w:r w:rsidRPr="0021705C">
                    <w:t>.</w:t>
                  </w:r>
                </w:p>
                <w:p w:rsidR="0021705C" w:rsidRPr="007A52ED" w:rsidRDefault="0021705C" w:rsidP="007A52ED">
                  <w:pPr>
                    <w:pStyle w:val="Sansinterligne"/>
                    <w:jc w:val="both"/>
                    <w:rPr>
                      <w:sz w:val="20"/>
                      <w:szCs w:val="20"/>
                      <w:highlight w:val="lightGray"/>
                    </w:rPr>
                  </w:pPr>
                  <w:r w:rsidRPr="007A52ED">
                    <w:rPr>
                      <w:sz w:val="20"/>
                      <w:szCs w:val="20"/>
                      <w:highlight w:val="lightGray"/>
                    </w:rPr>
                    <w:t xml:space="preserve">Vous n’êtes pas obligé de pondérer ou fixer le degré d’importance </w:t>
                  </w:r>
                  <w:r w:rsidR="003147FB">
                    <w:rPr>
                      <w:sz w:val="20"/>
                      <w:szCs w:val="20"/>
                      <w:highlight w:val="lightGray"/>
                    </w:rPr>
                    <w:t>de</w:t>
                  </w:r>
                  <w:r w:rsidRPr="007A52ED">
                    <w:rPr>
                      <w:sz w:val="20"/>
                      <w:szCs w:val="20"/>
                      <w:highlight w:val="lightGray"/>
                    </w:rPr>
                    <w:t xml:space="preserve"> vos critères de choix mais le pouvoir adjudicateur ne peut modifier le « poids » accordé aux critères de choix en cours de procédure. Cela serait contraire aux principes généraux fondateurs des marchés publics.</w:t>
                  </w:r>
                </w:p>
                <w:p w:rsidR="0021705C" w:rsidRPr="007A52ED" w:rsidRDefault="0021705C" w:rsidP="007A52ED">
                  <w:pPr>
                    <w:pStyle w:val="Sansinterligne"/>
                    <w:jc w:val="both"/>
                    <w:rPr>
                      <w:highlight w:val="yellow"/>
                    </w:rPr>
                  </w:pPr>
                  <w:r w:rsidRPr="007A52ED">
                    <w:rPr>
                      <w:u w:val="single"/>
                    </w:rPr>
                    <w:t>Critère 2</w:t>
                  </w:r>
                  <w:r w:rsidRPr="00D4528A">
                    <w:t xml:space="preserve"> : </w:t>
                  </w:r>
                  <w:r w:rsidRPr="007A52ED">
                    <w:rPr>
                      <w:highlight w:val="yellow"/>
                    </w:rPr>
                    <w:t>[Indiquer le/les autre(s) critère(s) de choix souhaité(s) (exemples : la disponibilité, l’organisation/méthode de travail de l’avocat et de sa structure)]</w:t>
                  </w:r>
                </w:p>
                <w:p w:rsidR="0021705C" w:rsidRPr="00906192" w:rsidRDefault="0021705C" w:rsidP="007A52ED">
                  <w:pPr>
                    <w:pStyle w:val="Sansinterligne"/>
                    <w:jc w:val="both"/>
                  </w:pPr>
                  <w:r w:rsidRPr="007A52ED">
                    <w:rPr>
                      <w:highlight w:val="yellow"/>
                    </w:rPr>
                    <w:t>[Indiquer leur pondération +  la manière dont le pouvoir adjudicateur va apprécier ces critères + les documents qui doivent être joints à la soumission de l’avocat au regard de ce/ces critère(s) de choix]</w:t>
                  </w:r>
                </w:p>
              </w:tc>
            </w:tr>
          </w:tbl>
          <w:p w:rsidR="00920924" w:rsidRPr="00920924" w:rsidRDefault="00920924" w:rsidP="007A52ED">
            <w:pPr>
              <w:pStyle w:val="Sansinterligne"/>
              <w:jc w:val="both"/>
            </w:pPr>
          </w:p>
        </w:tc>
      </w:tr>
    </w:tbl>
    <w:p w:rsidR="00DB2E26" w:rsidRPr="00F22033" w:rsidRDefault="00DB2E26" w:rsidP="00F22033">
      <w:pPr>
        <w:pStyle w:val="Sansinterligne"/>
        <w:jc w:val="both"/>
        <w:rPr>
          <w:sz w:val="20"/>
          <w:szCs w:val="20"/>
        </w:rPr>
      </w:pPr>
    </w:p>
    <w:p w:rsidR="00920924" w:rsidRDefault="00920924" w:rsidP="00920924">
      <w:pPr>
        <w:pStyle w:val="Sansinterligne"/>
        <w:jc w:val="both"/>
      </w:pPr>
      <w:r w:rsidRPr="00E468E6">
        <w:t>Le prix doit comprendre tous les frais usuels ainsi que les frais de déplacement, à l’exception des éventuels débours</w:t>
      </w:r>
      <w:r>
        <w:t>.</w:t>
      </w:r>
    </w:p>
    <w:p w:rsidR="00181E3E" w:rsidRDefault="00181E3E" w:rsidP="008748C7">
      <w:pPr>
        <w:jc w:val="both"/>
        <w:rPr>
          <w:rFonts w:ascii="Tahoma" w:hAnsi="Tahoma"/>
          <w:sz w:val="22"/>
          <w:lang w:val="fr-BE"/>
        </w:rPr>
      </w:pPr>
    </w:p>
    <w:p w:rsidR="00181E3E" w:rsidRPr="00181E3E" w:rsidRDefault="00181E3E" w:rsidP="008748C7">
      <w:pPr>
        <w:jc w:val="both"/>
        <w:rPr>
          <w:rFonts w:ascii="Calibri" w:hAnsi="Calibri" w:cs="Arial"/>
          <w:b/>
          <w:bCs/>
          <w:color w:val="000000"/>
          <w:sz w:val="22"/>
          <w:szCs w:val="22"/>
        </w:rPr>
      </w:pPr>
      <w:r w:rsidRPr="00181E3E">
        <w:rPr>
          <w:rFonts w:ascii="Calibri" w:hAnsi="Calibri" w:cs="Arial"/>
          <w:b/>
          <w:bCs/>
          <w:color w:val="000000"/>
          <w:sz w:val="22"/>
          <w:szCs w:val="22"/>
        </w:rPr>
        <w:t>Modalité de réponse</w:t>
      </w:r>
      <w:r w:rsidR="006A5A9E">
        <w:rPr>
          <w:rStyle w:val="Appelnotedebasdep"/>
          <w:rFonts w:ascii="Calibri" w:hAnsi="Calibri" w:cs="Arial"/>
          <w:b/>
          <w:bCs/>
          <w:color w:val="000000"/>
          <w:sz w:val="22"/>
          <w:szCs w:val="22"/>
        </w:rPr>
        <w:footnoteReference w:id="3"/>
      </w:r>
    </w:p>
    <w:p w:rsidR="00181E3E" w:rsidRDefault="00181E3E" w:rsidP="00181E3E">
      <w:pPr>
        <w:pBdr>
          <w:bottom w:val="single" w:sz="4" w:space="1" w:color="auto"/>
        </w:pBdr>
        <w:jc w:val="both"/>
        <w:rPr>
          <w:rFonts w:ascii="Calibri" w:hAnsi="Calibri" w:cs="Arial"/>
          <w:bCs/>
          <w:color w:val="000000"/>
          <w:sz w:val="22"/>
          <w:szCs w:val="22"/>
        </w:rPr>
      </w:pPr>
    </w:p>
    <w:p w:rsidR="00181E3E" w:rsidRDefault="00181E3E" w:rsidP="00181E3E">
      <w:pPr>
        <w:pStyle w:val="Sansinterligne"/>
        <w:ind w:right="33"/>
        <w:jc w:val="both"/>
        <w:rPr>
          <w:rFonts w:cs="Arial"/>
          <w:color w:val="000000"/>
        </w:rPr>
      </w:pPr>
    </w:p>
    <w:p w:rsidR="00181E3E" w:rsidRDefault="00181E3E" w:rsidP="00181E3E">
      <w:pPr>
        <w:pStyle w:val="Sansinterligne"/>
        <w:ind w:right="33"/>
        <w:jc w:val="both"/>
        <w:rPr>
          <w:rFonts w:cs="Arial"/>
          <w:color w:val="000000"/>
        </w:rPr>
      </w:pPr>
      <w:r>
        <w:rPr>
          <w:rFonts w:cs="Arial"/>
          <w:color w:val="000000"/>
        </w:rPr>
        <w:t>La</w:t>
      </w:r>
      <w:r w:rsidRPr="00E36E42">
        <w:rPr>
          <w:rFonts w:cs="Arial"/>
          <w:color w:val="000000"/>
        </w:rPr>
        <w:t xml:space="preserve"> réponse à la présente sollicitation doit </w:t>
      </w:r>
      <w:r w:rsidR="006A5A9E" w:rsidRPr="00E36E42">
        <w:rPr>
          <w:rFonts w:cs="Arial"/>
          <w:color w:val="000000"/>
        </w:rPr>
        <w:t xml:space="preserve">parvenir au pouvoir adjudicateur </w:t>
      </w:r>
      <w:r w:rsidR="006A5A9E" w:rsidRPr="00E36E42">
        <w:t>à l’adresse</w:t>
      </w:r>
      <w:r w:rsidR="006A5A9E">
        <w:t xml:space="preserve"> électronique </w:t>
      </w:r>
      <w:r w:rsidR="006A5A9E" w:rsidRPr="003044C8">
        <w:rPr>
          <w:sz w:val="20"/>
          <w:szCs w:val="20"/>
          <w:highlight w:val="yellow"/>
        </w:rPr>
        <w:t>[à compléter]</w:t>
      </w:r>
      <w:r w:rsidR="006A5A9E" w:rsidRPr="00782D1B">
        <w:t xml:space="preserve"> </w:t>
      </w:r>
      <w:r w:rsidR="006A5A9E" w:rsidRPr="00BF27D6">
        <w:t xml:space="preserve">au plus tard pour le </w:t>
      </w:r>
      <w:r w:rsidR="006A5A9E" w:rsidRPr="003044C8">
        <w:rPr>
          <w:sz w:val="20"/>
          <w:szCs w:val="20"/>
          <w:highlight w:val="yellow"/>
        </w:rPr>
        <w:t>[à compléter-date]</w:t>
      </w:r>
      <w:r w:rsidR="006A5A9E" w:rsidRPr="00BF27D6">
        <w:t xml:space="preserve"> à </w:t>
      </w:r>
      <w:r w:rsidR="006A5A9E" w:rsidRPr="003044C8">
        <w:rPr>
          <w:sz w:val="20"/>
          <w:szCs w:val="20"/>
          <w:highlight w:val="yellow"/>
        </w:rPr>
        <w:t>[à compléter-heure]</w:t>
      </w:r>
      <w:r w:rsidR="006A5A9E">
        <w:t xml:space="preserve"> et doit </w:t>
      </w:r>
      <w:r>
        <w:rPr>
          <w:rFonts w:cs="Arial"/>
          <w:color w:val="000000"/>
        </w:rPr>
        <w:t xml:space="preserve">indiquer : </w:t>
      </w:r>
    </w:p>
    <w:p w:rsidR="00D92C7B" w:rsidRDefault="00D92C7B" w:rsidP="006A5A9E">
      <w:pPr>
        <w:pStyle w:val="Sansinterligne"/>
        <w:ind w:right="33"/>
        <w:jc w:val="both"/>
        <w:rPr>
          <w:highlight w:val="cy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D92C7B" w:rsidRPr="007A52ED" w:rsidTr="007A52ED">
        <w:tc>
          <w:tcPr>
            <w:tcW w:w="9104" w:type="dxa"/>
          </w:tcPr>
          <w:p w:rsidR="00D92C7B" w:rsidRPr="00D92C7B" w:rsidRDefault="00D92C7B" w:rsidP="007A52ED">
            <w:pPr>
              <w:pStyle w:val="Sansinterligne"/>
              <w:jc w:val="both"/>
            </w:pPr>
            <w:r w:rsidRPr="007A52ED">
              <w:rPr>
                <w:highlight w:val="cyan"/>
              </w:rPr>
              <w:t>A)</w:t>
            </w:r>
            <w:r w:rsidRPr="00D92C7B">
              <w:t xml:space="preserve"> le taux horaire forfaitaire unique offert (TVAC) </w:t>
            </w:r>
          </w:p>
        </w:tc>
      </w:tr>
    </w:tbl>
    <w:p w:rsidR="00D92C7B" w:rsidRDefault="00D92C7B" w:rsidP="006A5A9E">
      <w:pPr>
        <w:pStyle w:val="Sansinterligne"/>
        <w:ind w:right="33"/>
        <w:jc w:val="both"/>
        <w:rPr>
          <w:highlight w:val="cy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D92C7B" w:rsidRPr="007A52ED" w:rsidTr="007A52ED">
        <w:tc>
          <w:tcPr>
            <w:tcW w:w="9104" w:type="dxa"/>
          </w:tcPr>
          <w:p w:rsidR="00D92C7B" w:rsidRPr="00D92C7B" w:rsidRDefault="00D92C7B" w:rsidP="007A52ED">
            <w:pPr>
              <w:pStyle w:val="Sansinterligne"/>
              <w:jc w:val="both"/>
            </w:pPr>
            <w:r w:rsidRPr="007A52ED">
              <w:rPr>
                <w:highlight w:val="cyan"/>
              </w:rPr>
              <w:t>B)</w:t>
            </w:r>
            <w:r w:rsidRPr="00D92C7B">
              <w:t xml:space="preserve"> le forfait global (TVAC) couvrant l’exécution de l’ensemble de l’objet du présent marché </w:t>
            </w:r>
          </w:p>
        </w:tc>
      </w:tr>
    </w:tbl>
    <w:p w:rsidR="00D92C7B" w:rsidRDefault="00D92C7B" w:rsidP="006A5A9E">
      <w:pPr>
        <w:pStyle w:val="Sansinterligne"/>
        <w:ind w:right="33"/>
        <w:jc w:val="both"/>
        <w:rPr>
          <w:highlight w:val="cy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D92C7B" w:rsidRPr="007A52ED" w:rsidTr="007A52ED">
        <w:tc>
          <w:tcPr>
            <w:tcW w:w="9104" w:type="dxa"/>
          </w:tcPr>
          <w:p w:rsidR="00D92C7B" w:rsidRPr="00D92C7B" w:rsidRDefault="00D92C7B" w:rsidP="00BC331E">
            <w:pPr>
              <w:pStyle w:val="Sansinterligne"/>
              <w:ind w:right="33"/>
              <w:jc w:val="both"/>
            </w:pPr>
            <w:r w:rsidRPr="007A52ED">
              <w:rPr>
                <w:highlight w:val="cyan"/>
              </w:rPr>
              <w:t>C)</w:t>
            </w:r>
            <w:r w:rsidRPr="00D92C7B">
              <w:t xml:space="preserve"> le montant (TVAC) de chaque forfait relatif aux différentes phases juridictionnelles potentielles d’un dossier, à savoir : mise en demeure (forfait I), phase pré-juridictionnelle (forfait II), 1</w:t>
            </w:r>
            <w:r w:rsidRPr="007A52ED">
              <w:rPr>
                <w:vertAlign w:val="superscript"/>
              </w:rPr>
              <w:t>ère</w:t>
            </w:r>
            <w:r w:rsidRPr="00D92C7B">
              <w:t xml:space="preserve"> instance (forfait III) et degré d’appel (forfait IV) et indiquer le total </w:t>
            </w:r>
            <w:r w:rsidR="00BC331E">
              <w:t>des forfaits I à IV</w:t>
            </w:r>
            <w:r w:rsidRPr="00D92C7B">
              <w:t xml:space="preserve"> (TVAC)</w:t>
            </w:r>
            <w:r>
              <w:t>.</w:t>
            </w:r>
          </w:p>
        </w:tc>
      </w:tr>
    </w:tbl>
    <w:p w:rsidR="00D92C7B" w:rsidRDefault="00D92C7B" w:rsidP="006A5A9E">
      <w:pPr>
        <w:pStyle w:val="Sansinterligne"/>
        <w:ind w:right="33"/>
        <w:jc w:val="both"/>
        <w:rPr>
          <w:highlight w:val="cy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D92C7B" w:rsidRPr="007A52ED" w:rsidTr="007A52ED">
        <w:tc>
          <w:tcPr>
            <w:tcW w:w="9104" w:type="dxa"/>
          </w:tcPr>
          <w:p w:rsidR="00D92C7B" w:rsidRPr="00D92C7B" w:rsidRDefault="00D92C7B" w:rsidP="007A52ED">
            <w:pPr>
              <w:pStyle w:val="Sansinterligne"/>
              <w:jc w:val="both"/>
            </w:pPr>
            <w:r w:rsidRPr="007A52ED">
              <w:rPr>
                <w:highlight w:val="cyan"/>
              </w:rPr>
              <w:t>D)</w:t>
            </w:r>
            <w:r w:rsidRPr="00D92C7B">
              <w:t xml:space="preserve"> le forfait global (TVAC) pour gestion complète du contentieux devant le Conseil d’état. </w:t>
            </w:r>
          </w:p>
        </w:tc>
      </w:tr>
    </w:tbl>
    <w:p w:rsidR="006A5A9E" w:rsidRPr="00E36E42" w:rsidRDefault="006A5A9E" w:rsidP="006A5A9E">
      <w:pPr>
        <w:pStyle w:val="Sansinterligne"/>
        <w:ind w:right="33"/>
        <w:jc w:val="both"/>
      </w:pPr>
    </w:p>
    <w:p w:rsidR="00181E3E" w:rsidRPr="003044C8" w:rsidRDefault="006A5A9E" w:rsidP="006A5A9E">
      <w:pPr>
        <w:pStyle w:val="Sansinterligne"/>
        <w:ind w:right="33"/>
        <w:jc w:val="both"/>
        <w:rPr>
          <w:sz w:val="20"/>
          <w:szCs w:val="20"/>
          <w:highlight w:val="yellow"/>
        </w:rPr>
      </w:pPr>
      <w:r w:rsidRPr="003044C8">
        <w:rPr>
          <w:rFonts w:cs="Arial"/>
          <w:color w:val="000000"/>
          <w:sz w:val="20"/>
          <w:szCs w:val="20"/>
          <w:highlight w:val="yellow"/>
        </w:rPr>
        <w:t>[S</w:t>
      </w:r>
      <w:r w:rsidR="00181E3E" w:rsidRPr="003044C8">
        <w:rPr>
          <w:rFonts w:cs="Arial"/>
          <w:color w:val="000000"/>
          <w:sz w:val="20"/>
          <w:szCs w:val="20"/>
          <w:highlight w:val="yellow"/>
        </w:rPr>
        <w:t xml:space="preserve">i vous </w:t>
      </w:r>
      <w:r w:rsidR="00D92C7B">
        <w:rPr>
          <w:rFonts w:cs="Arial"/>
          <w:color w:val="000000"/>
          <w:sz w:val="20"/>
          <w:szCs w:val="20"/>
          <w:highlight w:val="yellow"/>
        </w:rPr>
        <w:t xml:space="preserve">avez </w:t>
      </w:r>
      <w:r w:rsidR="00181E3E" w:rsidRPr="003044C8">
        <w:rPr>
          <w:rFonts w:cs="Arial"/>
          <w:color w:val="000000"/>
          <w:sz w:val="20"/>
          <w:szCs w:val="20"/>
          <w:highlight w:val="yellow"/>
        </w:rPr>
        <w:t>prév</w:t>
      </w:r>
      <w:r w:rsidR="00D92C7B">
        <w:rPr>
          <w:rFonts w:cs="Arial"/>
          <w:color w:val="000000"/>
          <w:sz w:val="20"/>
          <w:szCs w:val="20"/>
          <w:highlight w:val="yellow"/>
        </w:rPr>
        <w:t>u</w:t>
      </w:r>
      <w:r w:rsidR="00181E3E" w:rsidRPr="003044C8">
        <w:rPr>
          <w:rFonts w:cs="Arial"/>
          <w:color w:val="000000"/>
          <w:sz w:val="20"/>
          <w:szCs w:val="20"/>
          <w:highlight w:val="yellow"/>
        </w:rPr>
        <w:t xml:space="preserve"> d’autres critères </w:t>
      </w:r>
      <w:r w:rsidR="00990C04">
        <w:rPr>
          <w:rFonts w:cs="Arial"/>
          <w:color w:val="000000"/>
          <w:sz w:val="20"/>
          <w:szCs w:val="20"/>
          <w:highlight w:val="yellow"/>
        </w:rPr>
        <w:t>de choix</w:t>
      </w:r>
      <w:r w:rsidR="00181E3E" w:rsidRPr="003044C8">
        <w:rPr>
          <w:rFonts w:cs="Arial"/>
          <w:color w:val="000000"/>
          <w:sz w:val="20"/>
          <w:szCs w:val="20"/>
          <w:highlight w:val="yellow"/>
        </w:rPr>
        <w:t xml:space="preserve"> que le prix au présent document, indiquez </w:t>
      </w:r>
      <w:r w:rsidR="00B61515">
        <w:rPr>
          <w:rFonts w:cs="Arial"/>
          <w:color w:val="000000"/>
          <w:sz w:val="20"/>
          <w:szCs w:val="20"/>
          <w:highlight w:val="yellow"/>
        </w:rPr>
        <w:t xml:space="preserve">ici </w:t>
      </w:r>
      <w:r w:rsidR="00181E3E" w:rsidRPr="003044C8">
        <w:rPr>
          <w:rFonts w:cs="Arial"/>
          <w:color w:val="000000"/>
          <w:sz w:val="20"/>
          <w:szCs w:val="20"/>
          <w:highlight w:val="yellow"/>
        </w:rPr>
        <w:t>les autres éléments réclamés à ce sujet</w:t>
      </w:r>
      <w:r w:rsidR="003147FB">
        <w:rPr>
          <w:rFonts w:cs="Arial"/>
          <w:color w:val="000000"/>
          <w:sz w:val="20"/>
          <w:szCs w:val="20"/>
          <w:highlight w:val="yellow"/>
        </w:rPr>
        <w:t>. Ex : une note explicitant la disponibilité si vous avez prévu un critère « disponibilité »</w:t>
      </w:r>
      <w:r w:rsidR="00181E3E" w:rsidRPr="003044C8">
        <w:rPr>
          <w:rFonts w:cs="Arial"/>
          <w:color w:val="000000"/>
          <w:sz w:val="20"/>
          <w:szCs w:val="20"/>
          <w:highlight w:val="yellow"/>
        </w:rPr>
        <w:t>]</w:t>
      </w:r>
      <w:r w:rsidRPr="003044C8">
        <w:rPr>
          <w:rFonts w:cs="Arial"/>
          <w:color w:val="000000"/>
          <w:sz w:val="20"/>
          <w:szCs w:val="20"/>
          <w:highlight w:val="yellow"/>
        </w:rPr>
        <w:t>.</w:t>
      </w:r>
    </w:p>
    <w:p w:rsidR="006A5A9E" w:rsidRDefault="006A5A9E" w:rsidP="00181E3E">
      <w:pPr>
        <w:pStyle w:val="Sansinterligne"/>
        <w:ind w:right="33"/>
        <w:jc w:val="both"/>
        <w:rPr>
          <w:rFonts w:cs="Arial"/>
          <w:color w:val="000000"/>
        </w:rPr>
      </w:pPr>
    </w:p>
    <w:p w:rsidR="00846037" w:rsidRPr="00B04E1A" w:rsidRDefault="00846037" w:rsidP="00846037">
      <w:pPr>
        <w:rPr>
          <w:rFonts w:ascii="Calibri" w:hAnsi="Calibri" w:cs="Arial"/>
          <w:b/>
          <w:bCs/>
          <w:color w:val="000000"/>
          <w:sz w:val="22"/>
          <w:szCs w:val="22"/>
        </w:rPr>
      </w:pPr>
      <w:r w:rsidRPr="00B04E1A">
        <w:rPr>
          <w:rFonts w:ascii="Calibri" w:hAnsi="Calibri" w:cs="Arial"/>
          <w:b/>
          <w:bCs/>
          <w:color w:val="000000"/>
          <w:sz w:val="22"/>
          <w:szCs w:val="22"/>
        </w:rPr>
        <w:t>Conditions du marché</w:t>
      </w:r>
    </w:p>
    <w:p w:rsidR="00B04E1A" w:rsidRDefault="00B04E1A" w:rsidP="00B04E1A">
      <w:pPr>
        <w:pBdr>
          <w:bottom w:val="single" w:sz="4" w:space="1" w:color="auto"/>
        </w:pBdr>
        <w:rPr>
          <w:rFonts w:ascii="Calibri" w:hAnsi="Calibri" w:cs="Arial"/>
          <w:bCs/>
          <w:color w:val="000000"/>
          <w:sz w:val="22"/>
          <w:szCs w:val="22"/>
        </w:rPr>
      </w:pPr>
    </w:p>
    <w:p w:rsidR="00B04E1A" w:rsidRDefault="00B04E1A" w:rsidP="00B04E1A">
      <w:pPr>
        <w:jc w:val="both"/>
        <w:rPr>
          <w:rFonts w:ascii="Calibri" w:eastAsia="Calibri" w:hAnsi="Calibri" w:cs="Arial"/>
          <w:color w:val="000000"/>
          <w:sz w:val="22"/>
          <w:szCs w:val="22"/>
          <w:lang w:val="fr-BE" w:eastAsia="en-US"/>
        </w:rPr>
      </w:pPr>
    </w:p>
    <w:p w:rsidR="00B04E1A" w:rsidRPr="00CA4709" w:rsidRDefault="00B04E1A" w:rsidP="00B04E1A">
      <w:pPr>
        <w:jc w:val="both"/>
        <w:rPr>
          <w:rFonts w:ascii="Calibri" w:eastAsia="Calibri" w:hAnsi="Calibri" w:cs="Arial"/>
          <w:color w:val="000000"/>
          <w:sz w:val="22"/>
          <w:szCs w:val="22"/>
          <w:lang w:val="fr-BE" w:eastAsia="en-US"/>
        </w:rPr>
      </w:pPr>
      <w:r w:rsidRPr="00CA4709">
        <w:rPr>
          <w:rFonts w:ascii="Calibri" w:eastAsia="Calibri" w:hAnsi="Calibri" w:cs="Arial"/>
          <w:color w:val="000000"/>
          <w:sz w:val="22"/>
          <w:szCs w:val="22"/>
          <w:lang w:val="fr-BE" w:eastAsia="en-US"/>
        </w:rPr>
        <w:t>Les conditions d</w:t>
      </w:r>
      <w:r>
        <w:rPr>
          <w:rFonts w:ascii="Calibri" w:eastAsia="Calibri" w:hAnsi="Calibri" w:cs="Arial"/>
          <w:color w:val="000000"/>
          <w:sz w:val="22"/>
          <w:szCs w:val="22"/>
          <w:lang w:val="fr-BE" w:eastAsia="en-US"/>
        </w:rPr>
        <w:t>u</w:t>
      </w:r>
      <w:r w:rsidRPr="00CA4709">
        <w:rPr>
          <w:rFonts w:ascii="Calibri" w:eastAsia="Calibri" w:hAnsi="Calibri" w:cs="Arial"/>
          <w:color w:val="000000"/>
          <w:sz w:val="22"/>
          <w:szCs w:val="22"/>
          <w:lang w:val="fr-BE" w:eastAsia="en-US"/>
        </w:rPr>
        <w:t xml:space="preserve"> présent </w:t>
      </w:r>
      <w:r>
        <w:rPr>
          <w:rFonts w:ascii="Calibri" w:eastAsia="Calibri" w:hAnsi="Calibri" w:cs="Arial"/>
          <w:color w:val="000000"/>
          <w:sz w:val="22"/>
          <w:szCs w:val="22"/>
          <w:lang w:val="fr-BE" w:eastAsia="en-US"/>
        </w:rPr>
        <w:t>marché</w:t>
      </w:r>
      <w:r w:rsidRPr="00CA4709">
        <w:rPr>
          <w:rFonts w:ascii="Calibri" w:eastAsia="Calibri" w:hAnsi="Calibri" w:cs="Arial"/>
          <w:color w:val="000000"/>
          <w:sz w:val="22"/>
          <w:szCs w:val="22"/>
          <w:lang w:val="fr-BE" w:eastAsia="en-US"/>
        </w:rPr>
        <w:t xml:space="preserve"> sont seules applicables à l’exclusion de toutes autres, sauf accord exprès écrit du pouvoir adjudicateur.</w:t>
      </w:r>
    </w:p>
    <w:p w:rsidR="00B04E1A" w:rsidRDefault="00B04E1A" w:rsidP="00846037">
      <w:pPr>
        <w:rPr>
          <w:rFonts w:ascii="Calibri" w:hAnsi="Calibri" w:cs="Arial"/>
          <w:bCs/>
          <w:color w:val="000000"/>
          <w:sz w:val="22"/>
          <w:szCs w:val="22"/>
        </w:rPr>
      </w:pPr>
    </w:p>
    <w:p w:rsidR="00092479" w:rsidRDefault="00B04E1A" w:rsidP="00092479">
      <w:pPr>
        <w:jc w:val="both"/>
        <w:rPr>
          <w:rFonts w:ascii="Calibri" w:hAnsi="Calibri"/>
          <w:highlight w:val="yellow"/>
        </w:rPr>
      </w:pPr>
      <w:r w:rsidRPr="00F858D5">
        <w:rPr>
          <w:rFonts w:ascii="Calibri" w:hAnsi="Calibri"/>
          <w:highlight w:val="yellow"/>
        </w:rPr>
        <w:lastRenderedPageBreak/>
        <w:t xml:space="preserve">[Si vous </w:t>
      </w:r>
      <w:r>
        <w:rPr>
          <w:rFonts w:ascii="Calibri" w:hAnsi="Calibri"/>
          <w:highlight w:val="yellow"/>
        </w:rPr>
        <w:t>avez choisi</w:t>
      </w:r>
      <w:r w:rsidRPr="00F858D5">
        <w:rPr>
          <w:rFonts w:ascii="Calibri" w:hAnsi="Calibri"/>
          <w:highlight w:val="yellow"/>
        </w:rPr>
        <w:t xml:space="preserve"> l’objet du marché </w:t>
      </w:r>
      <w:r w:rsidR="00BF181F">
        <w:rPr>
          <w:rFonts w:ascii="Calibri" w:hAnsi="Calibri"/>
          <w:highlight w:val="yellow"/>
        </w:rPr>
        <w:t>A2</w:t>
      </w:r>
      <w:r w:rsidR="00FA0391">
        <w:rPr>
          <w:rFonts w:ascii="Calibri" w:hAnsi="Calibri"/>
          <w:highlight w:val="yellow"/>
        </w:rPr>
        <w:t>)</w:t>
      </w:r>
      <w:r w:rsidRPr="00F858D5">
        <w:rPr>
          <w:rFonts w:ascii="Calibri" w:hAnsi="Calibri"/>
          <w:highlight w:val="yellow"/>
        </w:rPr>
        <w:t xml:space="preserve">, Indiquer : </w:t>
      </w:r>
      <w:r w:rsidR="00FA0391">
        <w:rPr>
          <w:rFonts w:ascii="Calibri" w:hAnsi="Calibri"/>
          <w:highlight w:val="yellow"/>
        </w:rPr>
        <w:t>« </w:t>
      </w:r>
      <w:r w:rsidRPr="00092479">
        <w:rPr>
          <w:rFonts w:ascii="Calibri" w:hAnsi="Calibri"/>
          <w:highlight w:val="yellow"/>
        </w:rPr>
        <w:t>La conclusion du présent marché ne prive pas la Région wallonne du droit d’attribuer à d’autres avocats, pendant la période indiquée ci-avant sous « objet », par le biais de la passation d’autres marchés publics distincts, des missions relevant des matières juridiques concernées par le présent marché</w:t>
      </w:r>
      <w:r w:rsidRPr="00092479">
        <w:rPr>
          <w:rFonts w:ascii="Calibri" w:hAnsi="Calibri" w:cs="Arial"/>
          <w:bCs/>
          <w:color w:val="000000"/>
          <w:highlight w:val="yellow"/>
        </w:rPr>
        <w:t xml:space="preserve"> et gérée par la Direction du Département de la Direction générale identifiée ci-avant sous « objet ». </w:t>
      </w:r>
    </w:p>
    <w:p w:rsidR="00846037" w:rsidRPr="00092479" w:rsidRDefault="00B04E1A" w:rsidP="00092479">
      <w:pPr>
        <w:jc w:val="both"/>
        <w:rPr>
          <w:rFonts w:ascii="Calibri" w:hAnsi="Calibri"/>
        </w:rPr>
      </w:pPr>
      <w:r w:rsidRPr="00092479">
        <w:rPr>
          <w:rFonts w:ascii="Calibri" w:hAnsi="Calibri"/>
          <w:highlight w:val="yellow"/>
        </w:rPr>
        <w:t xml:space="preserve">Le pouvoir adjudicateur ne pouvant mesurer exactement l’étendue de son besoin quant au nombre de dossiers à attribuer endéans la période indiquée ci-avant sous « objet », la quantité minimale garantie en terme de commande s’élève à 1. Le pouvoir adjudicateur se réserve le droit de ne pas confier plus de dossier qu’un seul à l’adjudicataire endéans cette période et ce dernier ne pourra prétendre à aucun dédommagement quelconque de ce </w:t>
      </w:r>
      <w:r w:rsidRPr="00FA0391">
        <w:rPr>
          <w:rFonts w:ascii="Calibri" w:hAnsi="Calibri"/>
          <w:highlight w:val="yellow"/>
        </w:rPr>
        <w:t>fait.</w:t>
      </w:r>
      <w:r w:rsidR="00FA0391" w:rsidRPr="00FA0391">
        <w:rPr>
          <w:rFonts w:ascii="Calibri" w:hAnsi="Calibri"/>
          <w:highlight w:val="yellow"/>
        </w:rPr>
        <w:t> ».</w:t>
      </w:r>
    </w:p>
    <w:p w:rsidR="00451CC9" w:rsidRDefault="00451CC9" w:rsidP="00B04E1A">
      <w:pPr>
        <w:rPr>
          <w:rFonts w:ascii="Calibri" w:hAnsi="Calibri" w:cs="Arial"/>
          <w:b/>
          <w:bCs/>
          <w:color w:val="000000"/>
          <w:sz w:val="22"/>
          <w:szCs w:val="22"/>
        </w:rPr>
      </w:pPr>
    </w:p>
    <w:p w:rsidR="00FC763F" w:rsidRPr="00FC763F" w:rsidRDefault="00FC763F" w:rsidP="00B04E1A">
      <w:pPr>
        <w:rPr>
          <w:rFonts w:ascii="Tahoma" w:hAnsi="Tahoma"/>
          <w:b/>
          <w:sz w:val="22"/>
          <w:lang w:val="fr-BE"/>
        </w:rPr>
      </w:pPr>
      <w:r w:rsidRPr="00FC763F">
        <w:rPr>
          <w:rFonts w:ascii="Calibri" w:hAnsi="Calibri" w:cs="Arial"/>
          <w:b/>
          <w:bCs/>
          <w:color w:val="000000"/>
          <w:sz w:val="22"/>
          <w:szCs w:val="22"/>
        </w:rPr>
        <w:t>Confidentialité</w:t>
      </w:r>
    </w:p>
    <w:p w:rsidR="00FC763F" w:rsidRDefault="00FC763F" w:rsidP="00FC763F">
      <w:pPr>
        <w:pBdr>
          <w:bottom w:val="single" w:sz="4" w:space="1" w:color="auto"/>
        </w:pBdr>
        <w:rPr>
          <w:rFonts w:ascii="Tahoma" w:hAnsi="Tahoma"/>
          <w:sz w:val="22"/>
          <w:lang w:val="fr-BE"/>
        </w:rPr>
      </w:pPr>
    </w:p>
    <w:p w:rsidR="00FC763F" w:rsidRDefault="00FC763F" w:rsidP="00B04E1A">
      <w:pPr>
        <w:rPr>
          <w:rFonts w:ascii="Tahoma" w:hAnsi="Tahoma"/>
          <w:sz w:val="22"/>
          <w:lang w:val="fr-BE"/>
        </w:rPr>
      </w:pPr>
    </w:p>
    <w:p w:rsidR="00FC763F" w:rsidRPr="00FC763F" w:rsidRDefault="00FC763F" w:rsidP="006C5406">
      <w:pPr>
        <w:autoSpaceDE w:val="0"/>
        <w:autoSpaceDN w:val="0"/>
        <w:adjustRightInd w:val="0"/>
        <w:ind w:left="5"/>
        <w:jc w:val="both"/>
        <w:rPr>
          <w:rFonts w:ascii="Calibri" w:eastAsia="Calibri" w:hAnsi="Calibri" w:cs="Arial"/>
          <w:color w:val="000000"/>
          <w:sz w:val="22"/>
          <w:szCs w:val="22"/>
          <w:lang w:val="fr-BE" w:eastAsia="en-US"/>
        </w:rPr>
      </w:pPr>
      <w:r w:rsidRPr="006F3E55">
        <w:rPr>
          <w:rFonts w:ascii="Calibri" w:eastAsia="Calibri" w:hAnsi="Calibri" w:cs="Arial"/>
          <w:color w:val="000000"/>
          <w:sz w:val="22"/>
          <w:szCs w:val="22"/>
          <w:lang w:val="fr-BE" w:eastAsia="en-US"/>
        </w:rPr>
        <w:t>L</w:t>
      </w:r>
      <w:r>
        <w:rPr>
          <w:rFonts w:ascii="Calibri" w:eastAsia="Calibri" w:hAnsi="Calibri" w:cs="Arial"/>
          <w:color w:val="000000"/>
          <w:sz w:val="22"/>
          <w:szCs w:val="22"/>
          <w:lang w:val="fr-BE" w:eastAsia="en-US"/>
        </w:rPr>
        <w:t xml:space="preserve">es soumissionnaires sont liés </w:t>
      </w:r>
      <w:r w:rsidRPr="006F3E55">
        <w:rPr>
          <w:rFonts w:ascii="Calibri" w:eastAsia="Calibri" w:hAnsi="Calibri" w:cs="Arial"/>
          <w:color w:val="000000"/>
          <w:sz w:val="22"/>
          <w:szCs w:val="22"/>
          <w:lang w:val="fr-BE" w:eastAsia="en-US"/>
        </w:rPr>
        <w:t>par un devoir de réserve concernant les informations dont il</w:t>
      </w:r>
      <w:r>
        <w:rPr>
          <w:rFonts w:ascii="Calibri" w:eastAsia="Calibri" w:hAnsi="Calibri" w:cs="Arial"/>
          <w:color w:val="000000"/>
          <w:sz w:val="22"/>
          <w:szCs w:val="22"/>
          <w:lang w:val="fr-BE" w:eastAsia="en-US"/>
        </w:rPr>
        <w:t>s ont</w:t>
      </w:r>
      <w:r w:rsidRPr="006F3E55">
        <w:rPr>
          <w:rFonts w:ascii="Calibri" w:eastAsia="Calibri" w:hAnsi="Calibri" w:cs="Arial"/>
          <w:color w:val="000000"/>
          <w:sz w:val="22"/>
          <w:szCs w:val="22"/>
          <w:lang w:val="fr-BE" w:eastAsia="en-US"/>
        </w:rPr>
        <w:t xml:space="preserve"> connaissance lors de </w:t>
      </w:r>
      <w:r>
        <w:rPr>
          <w:rFonts w:ascii="Calibri" w:eastAsia="Calibri" w:hAnsi="Calibri" w:cs="Arial"/>
          <w:color w:val="000000"/>
          <w:sz w:val="22"/>
          <w:szCs w:val="22"/>
          <w:lang w:val="fr-BE" w:eastAsia="en-US"/>
        </w:rPr>
        <w:t xml:space="preserve">la passation </w:t>
      </w:r>
      <w:r w:rsidRPr="006F3E55">
        <w:rPr>
          <w:rFonts w:ascii="Calibri" w:eastAsia="Calibri" w:hAnsi="Calibri" w:cs="Arial"/>
          <w:color w:val="000000"/>
          <w:sz w:val="22"/>
          <w:szCs w:val="22"/>
          <w:lang w:val="fr-BE" w:eastAsia="en-US"/>
        </w:rPr>
        <w:t>du marché</w:t>
      </w:r>
      <w:r w:rsidR="00861948">
        <w:rPr>
          <w:rFonts w:ascii="Calibri" w:eastAsia="Calibri" w:hAnsi="Calibri" w:cs="Arial"/>
          <w:color w:val="000000"/>
          <w:sz w:val="22"/>
          <w:szCs w:val="22"/>
          <w:lang w:val="fr-BE" w:eastAsia="en-US"/>
        </w:rPr>
        <w:t xml:space="preserve"> </w:t>
      </w:r>
      <w:r w:rsidR="00861948" w:rsidRPr="006C205D">
        <w:rPr>
          <w:rFonts w:ascii="Calibri" w:eastAsia="Calibri" w:hAnsi="Calibri" w:cs="Arial"/>
          <w:color w:val="000000"/>
          <w:sz w:val="22"/>
          <w:szCs w:val="22"/>
          <w:highlight w:val="yellow"/>
          <w:lang w:val="fr-BE" w:eastAsia="en-US"/>
        </w:rPr>
        <w:t>[en cas de marché portant sur du contentieux, indiquer : « c’est notamment le cas pour les citations et requêtes jointes au présent descriptif de marché »]</w:t>
      </w:r>
      <w:r w:rsidR="00861948">
        <w:rPr>
          <w:rFonts w:ascii="Calibri" w:eastAsia="Calibri" w:hAnsi="Calibri" w:cs="Arial"/>
          <w:color w:val="000000"/>
          <w:sz w:val="22"/>
          <w:szCs w:val="22"/>
          <w:lang w:val="fr-BE" w:eastAsia="en-US"/>
        </w:rPr>
        <w:t xml:space="preserve"> </w:t>
      </w:r>
      <w:r w:rsidR="00861948" w:rsidRPr="006C205D">
        <w:rPr>
          <w:rFonts w:ascii="Calibri" w:eastAsia="Calibri" w:hAnsi="Calibri" w:cs="Arial"/>
          <w:color w:val="000000"/>
          <w:sz w:val="22"/>
          <w:szCs w:val="22"/>
          <w:highlight w:val="yellow"/>
          <w:lang w:val="fr-BE" w:eastAsia="en-US"/>
        </w:rPr>
        <w:t>[</w:t>
      </w:r>
      <w:r w:rsidR="006C205D" w:rsidRPr="006C205D">
        <w:rPr>
          <w:rFonts w:ascii="Calibri" w:eastAsia="Calibri" w:hAnsi="Calibri" w:cs="Arial"/>
          <w:color w:val="000000"/>
          <w:sz w:val="22"/>
          <w:szCs w:val="22"/>
          <w:highlight w:val="yellow"/>
          <w:lang w:val="fr-BE" w:eastAsia="en-US"/>
        </w:rPr>
        <w:t xml:space="preserve">si votre marché </w:t>
      </w:r>
      <w:r w:rsidR="00861948" w:rsidRPr="006C205D">
        <w:rPr>
          <w:rFonts w:ascii="Calibri" w:eastAsia="Calibri" w:hAnsi="Calibri" w:cs="Arial"/>
          <w:color w:val="000000"/>
          <w:sz w:val="22"/>
          <w:szCs w:val="22"/>
          <w:highlight w:val="yellow"/>
          <w:lang w:val="fr-BE" w:eastAsia="en-US"/>
        </w:rPr>
        <w:t>port</w:t>
      </w:r>
      <w:r w:rsidR="006C205D" w:rsidRPr="006C205D">
        <w:rPr>
          <w:rFonts w:ascii="Calibri" w:eastAsia="Calibri" w:hAnsi="Calibri" w:cs="Arial"/>
          <w:color w:val="000000"/>
          <w:sz w:val="22"/>
          <w:szCs w:val="22"/>
          <w:highlight w:val="yellow"/>
          <w:lang w:val="fr-BE" w:eastAsia="en-US"/>
        </w:rPr>
        <w:t>e</w:t>
      </w:r>
      <w:r w:rsidR="00861948" w:rsidRPr="006C205D">
        <w:rPr>
          <w:rFonts w:ascii="Calibri" w:eastAsia="Calibri" w:hAnsi="Calibri" w:cs="Arial"/>
          <w:color w:val="000000"/>
          <w:sz w:val="22"/>
          <w:szCs w:val="22"/>
          <w:highlight w:val="yellow"/>
          <w:lang w:val="fr-BE" w:eastAsia="en-US"/>
        </w:rPr>
        <w:t xml:space="preserve"> sur de la consultance relat</w:t>
      </w:r>
      <w:r w:rsidR="006C205D" w:rsidRPr="006C205D">
        <w:rPr>
          <w:rFonts w:ascii="Calibri" w:eastAsia="Calibri" w:hAnsi="Calibri" w:cs="Arial"/>
          <w:color w:val="000000"/>
          <w:sz w:val="22"/>
          <w:szCs w:val="22"/>
          <w:highlight w:val="yellow"/>
          <w:lang w:val="fr-BE" w:eastAsia="en-US"/>
        </w:rPr>
        <w:t>ive à de l’aide à l’écriture de texte normatifs, indiquer : « c’est notamment le cas pour le texte normatif en projet, joint au présent descriptif de marché]</w:t>
      </w:r>
      <w:r w:rsidRPr="006F3E55">
        <w:rPr>
          <w:rFonts w:ascii="Calibri" w:eastAsia="Calibri" w:hAnsi="Calibri" w:cs="Arial"/>
          <w:color w:val="000000"/>
          <w:sz w:val="22"/>
          <w:szCs w:val="22"/>
          <w:lang w:val="fr-BE" w:eastAsia="en-US"/>
        </w:rPr>
        <w:t>.</w:t>
      </w:r>
      <w:r>
        <w:rPr>
          <w:rFonts w:ascii="Calibri" w:eastAsia="Calibri" w:hAnsi="Calibri" w:cs="Arial"/>
          <w:color w:val="000000"/>
          <w:sz w:val="22"/>
          <w:szCs w:val="22"/>
          <w:lang w:val="fr-BE" w:eastAsia="en-US"/>
        </w:rPr>
        <w:t xml:space="preserve"> Il en va de même pour l’adjudicataire en cours d’exécution du marché</w:t>
      </w:r>
      <w:r w:rsidRPr="006F3E55">
        <w:rPr>
          <w:rFonts w:ascii="Calibri" w:eastAsia="Calibri" w:hAnsi="Calibri" w:cs="Arial"/>
          <w:color w:val="000000"/>
          <w:sz w:val="22"/>
          <w:szCs w:val="22"/>
          <w:lang w:val="fr-BE" w:eastAsia="en-US"/>
        </w:rPr>
        <w:t>.</w:t>
      </w:r>
      <w:r>
        <w:rPr>
          <w:rFonts w:ascii="Calibri" w:eastAsia="Calibri" w:hAnsi="Calibri" w:cs="Arial"/>
          <w:color w:val="000000"/>
          <w:sz w:val="22"/>
          <w:szCs w:val="22"/>
          <w:lang w:val="fr-BE" w:eastAsia="en-US"/>
        </w:rPr>
        <w:t xml:space="preserve"> </w:t>
      </w:r>
      <w:r w:rsidRPr="006F3E55">
        <w:rPr>
          <w:rFonts w:ascii="Calibri" w:hAnsi="Calibri"/>
          <w:bCs/>
          <w:sz w:val="22"/>
          <w:szCs w:val="22"/>
        </w:rPr>
        <w:t>En toute hypothèse, ces informations ne peuvent en aucun cas être communiquées à des tiers sans l’autorisation écrite du pouvoir adjudicateur</w:t>
      </w:r>
      <w:r>
        <w:rPr>
          <w:rFonts w:ascii="Calibri" w:hAnsi="Calibri"/>
          <w:bCs/>
          <w:sz w:val="22"/>
          <w:szCs w:val="22"/>
        </w:rPr>
        <w:t>.</w:t>
      </w:r>
    </w:p>
    <w:p w:rsidR="00FC763F" w:rsidRDefault="00FC763F" w:rsidP="006C5406">
      <w:pPr>
        <w:rPr>
          <w:rFonts w:ascii="Tahoma" w:hAnsi="Tahoma"/>
          <w:sz w:val="22"/>
          <w:lang w:val="fr-BE"/>
        </w:rPr>
      </w:pPr>
    </w:p>
    <w:p w:rsidR="002946D7" w:rsidRPr="002946D7" w:rsidRDefault="002946D7" w:rsidP="006C5406">
      <w:pPr>
        <w:rPr>
          <w:rFonts w:ascii="Calibri" w:hAnsi="Calibri" w:cs="Arial"/>
          <w:b/>
          <w:bCs/>
          <w:color w:val="000000"/>
          <w:sz w:val="22"/>
          <w:szCs w:val="22"/>
        </w:rPr>
      </w:pPr>
      <w:r w:rsidRPr="002946D7">
        <w:rPr>
          <w:rFonts w:ascii="Calibri" w:hAnsi="Calibri" w:cs="Arial"/>
          <w:b/>
          <w:bCs/>
          <w:color w:val="000000"/>
          <w:sz w:val="22"/>
          <w:szCs w:val="22"/>
        </w:rPr>
        <w:t>Modalité</w:t>
      </w:r>
      <w:r>
        <w:rPr>
          <w:rFonts w:ascii="Calibri" w:hAnsi="Calibri" w:cs="Arial"/>
          <w:b/>
          <w:bCs/>
          <w:color w:val="000000"/>
          <w:sz w:val="22"/>
          <w:szCs w:val="22"/>
        </w:rPr>
        <w:t>s</w:t>
      </w:r>
      <w:r w:rsidRPr="002946D7">
        <w:rPr>
          <w:rFonts w:ascii="Calibri" w:hAnsi="Calibri" w:cs="Arial"/>
          <w:b/>
          <w:bCs/>
          <w:color w:val="000000"/>
          <w:sz w:val="22"/>
          <w:szCs w:val="22"/>
        </w:rPr>
        <w:t xml:space="preserve"> de paiement</w:t>
      </w:r>
    </w:p>
    <w:p w:rsidR="002946D7" w:rsidRDefault="002946D7" w:rsidP="006C5406">
      <w:pPr>
        <w:pBdr>
          <w:bottom w:val="single" w:sz="4" w:space="1" w:color="auto"/>
        </w:pBdr>
        <w:rPr>
          <w:rFonts w:ascii="Calibri" w:hAnsi="Calibri" w:cs="Arial"/>
          <w:bCs/>
          <w:color w:val="000000"/>
          <w:sz w:val="22"/>
          <w:szCs w:val="22"/>
        </w:rPr>
      </w:pPr>
    </w:p>
    <w:p w:rsidR="002946D7" w:rsidRPr="005B12D5" w:rsidRDefault="002946D7" w:rsidP="006C5406">
      <w:pPr>
        <w:jc w:val="both"/>
        <w:rPr>
          <w:rFonts w:ascii="Calibri" w:hAnsi="Calibri"/>
          <w:bCs/>
          <w:sz w:val="22"/>
          <w:szCs w:val="22"/>
        </w:rPr>
      </w:pPr>
    </w:p>
    <w:p w:rsidR="005B12D5" w:rsidRDefault="006C5406" w:rsidP="006C5406">
      <w:pPr>
        <w:pStyle w:val="Retraitcorpsdetexte3"/>
        <w:spacing w:after="0"/>
        <w:ind w:left="0"/>
        <w:rPr>
          <w:rFonts w:ascii="Calibri" w:hAnsi="Calibri" w:cs="Arial"/>
          <w:sz w:val="22"/>
          <w:szCs w:val="22"/>
          <w:lang w:eastAsia="fr-FR"/>
        </w:rPr>
      </w:pPr>
      <w:r>
        <w:rPr>
          <w:rFonts w:ascii="Calibri" w:hAnsi="Calibri" w:cs="Arial"/>
          <w:sz w:val="22"/>
          <w:szCs w:val="22"/>
          <w:lang w:eastAsia="fr-FR"/>
        </w:rPr>
        <w:t xml:space="preserve">L’adjudicataire sera payé </w:t>
      </w:r>
      <w:r w:rsidR="00BA16B6" w:rsidRPr="005B12D5">
        <w:rPr>
          <w:rFonts w:ascii="Calibri" w:hAnsi="Calibri" w:cs="Arial"/>
          <w:sz w:val="22"/>
          <w:szCs w:val="22"/>
          <w:lang w:eastAsia="fr-FR"/>
        </w:rPr>
        <w:t>après service fait et accepté. Aucune provision</w:t>
      </w:r>
      <w:r w:rsidR="005B12D5" w:rsidRPr="005B12D5">
        <w:rPr>
          <w:rFonts w:ascii="Calibri" w:hAnsi="Calibri" w:cs="Arial"/>
          <w:sz w:val="22"/>
          <w:szCs w:val="22"/>
          <w:lang w:eastAsia="fr-FR"/>
        </w:rPr>
        <w:t>, ni avance</w:t>
      </w:r>
      <w:r w:rsidR="00BA16B6" w:rsidRPr="005B12D5">
        <w:rPr>
          <w:rFonts w:ascii="Calibri" w:hAnsi="Calibri" w:cs="Arial"/>
          <w:sz w:val="22"/>
          <w:szCs w:val="22"/>
          <w:lang w:eastAsia="fr-FR"/>
        </w:rPr>
        <w:t xml:space="preserve"> ne sera constituée pour des services encore à prester. </w:t>
      </w:r>
    </w:p>
    <w:p w:rsidR="006C5406" w:rsidRPr="005B12D5" w:rsidRDefault="006C5406" w:rsidP="006C5406">
      <w:pPr>
        <w:pStyle w:val="Retraitcorpsdetexte3"/>
        <w:spacing w:after="0"/>
        <w:ind w:left="0"/>
        <w:rPr>
          <w:rFonts w:ascii="Calibri" w:hAnsi="Calibri" w:cs="Arial"/>
          <w:sz w:val="22"/>
          <w:szCs w:val="22"/>
          <w:lang w:eastAsia="fr-F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861948" w:rsidRPr="007A52ED" w:rsidTr="007A52ED">
        <w:tc>
          <w:tcPr>
            <w:tcW w:w="9104" w:type="dxa"/>
          </w:tcPr>
          <w:p w:rsidR="00861948" w:rsidRPr="007A52ED" w:rsidRDefault="00861948" w:rsidP="007A52ED">
            <w:pPr>
              <w:jc w:val="both"/>
              <w:rPr>
                <w:rFonts w:ascii="Calibri" w:eastAsia="Calibri" w:hAnsi="Calibri"/>
                <w:bCs/>
                <w:sz w:val="22"/>
                <w:szCs w:val="22"/>
              </w:rPr>
            </w:pPr>
            <w:r w:rsidRPr="007A52ED">
              <w:rPr>
                <w:rFonts w:ascii="Calibri" w:eastAsia="Calibri" w:hAnsi="Calibri"/>
                <w:bCs/>
                <w:sz w:val="22"/>
                <w:szCs w:val="22"/>
                <w:highlight w:val="cyan"/>
              </w:rPr>
              <w:t>A)</w:t>
            </w:r>
            <w:r w:rsidRPr="007A52ED">
              <w:rPr>
                <w:rFonts w:ascii="Calibri" w:eastAsia="Calibri" w:hAnsi="Calibri"/>
                <w:bCs/>
                <w:sz w:val="22"/>
                <w:szCs w:val="22"/>
              </w:rPr>
              <w:t xml:space="preserve"> Le prix du marché est payé en une fois après son exécution complète.</w:t>
            </w:r>
          </w:p>
        </w:tc>
      </w:tr>
    </w:tbl>
    <w:p w:rsidR="005B12D5" w:rsidRPr="00861948" w:rsidRDefault="005B12D5" w:rsidP="006C5406">
      <w:pPr>
        <w:jc w:val="both"/>
        <w:rPr>
          <w:rFonts w:ascii="Calibri" w:hAnsi="Calibri"/>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04"/>
      </w:tblGrid>
      <w:tr w:rsidR="00861948" w:rsidRPr="007A52ED" w:rsidTr="007A52ED">
        <w:tc>
          <w:tcPr>
            <w:tcW w:w="9104" w:type="dxa"/>
          </w:tcPr>
          <w:p w:rsidR="00861948" w:rsidRPr="007A52ED" w:rsidRDefault="00861948" w:rsidP="007A52ED">
            <w:pPr>
              <w:pStyle w:val="Retraitcorpsdetexte3"/>
              <w:spacing w:after="0"/>
              <w:ind w:left="0"/>
              <w:rPr>
                <w:rFonts w:ascii="Calibri" w:eastAsia="Calibri" w:hAnsi="Calibri"/>
                <w:bCs/>
                <w:sz w:val="22"/>
                <w:szCs w:val="22"/>
              </w:rPr>
            </w:pPr>
            <w:r w:rsidRPr="007A52ED">
              <w:rPr>
                <w:rFonts w:ascii="Calibri" w:eastAsia="Calibri" w:hAnsi="Calibri"/>
                <w:bCs/>
                <w:sz w:val="22"/>
                <w:szCs w:val="22"/>
                <w:highlight w:val="cyan"/>
              </w:rPr>
              <w:t>B)</w:t>
            </w:r>
            <w:r w:rsidRPr="007A52ED">
              <w:rPr>
                <w:rFonts w:ascii="Calibri" w:eastAsia="Calibri" w:hAnsi="Calibri"/>
                <w:bCs/>
                <w:sz w:val="22"/>
                <w:szCs w:val="22"/>
              </w:rPr>
              <w:t xml:space="preserve"> Le prix du marché est payé par acomptes au fur et à mesure </w:t>
            </w:r>
            <w:r w:rsidRPr="007A52ED">
              <w:rPr>
                <w:rFonts w:ascii="Calibri" w:eastAsia="Calibri" w:hAnsi="Calibri"/>
                <w:sz w:val="22"/>
                <w:szCs w:val="22"/>
              </w:rPr>
              <w:t>des prestations effectuées</w:t>
            </w:r>
            <w:r w:rsidRPr="007A52ED">
              <w:rPr>
                <w:rFonts w:ascii="Calibri" w:eastAsia="Calibri" w:hAnsi="Calibri"/>
                <w:bCs/>
                <w:sz w:val="22"/>
                <w:szCs w:val="22"/>
              </w:rPr>
              <w:t xml:space="preserve">, </w:t>
            </w:r>
            <w:r w:rsidRPr="007A52ED">
              <w:rPr>
                <w:rFonts w:ascii="Calibri" w:eastAsia="Calibri" w:hAnsi="Calibri"/>
                <w:bCs/>
                <w:sz w:val="22"/>
                <w:szCs w:val="22"/>
                <w:highlight w:val="yellow"/>
              </w:rPr>
              <w:t>[indiquer les modalités relatives au paiement d’acomptes]</w:t>
            </w:r>
            <w:r w:rsidRPr="007A52ED">
              <w:rPr>
                <w:rFonts w:ascii="Calibri" w:eastAsia="Calibri" w:hAnsi="Calibri"/>
                <w:bCs/>
                <w:sz w:val="22"/>
                <w:szCs w:val="22"/>
              </w:rPr>
              <w:t>.</w:t>
            </w:r>
          </w:p>
        </w:tc>
      </w:tr>
    </w:tbl>
    <w:p w:rsidR="006C5406" w:rsidRDefault="006C5406" w:rsidP="006C5406">
      <w:pPr>
        <w:pStyle w:val="Retraitcorpsdetexte3"/>
        <w:spacing w:after="0"/>
        <w:ind w:left="0"/>
        <w:jc w:val="both"/>
        <w:rPr>
          <w:rFonts w:ascii="Calibri" w:hAnsi="Calibri"/>
          <w:bCs/>
          <w:sz w:val="22"/>
          <w:szCs w:val="22"/>
        </w:rPr>
      </w:pPr>
    </w:p>
    <w:p w:rsidR="00BA16B6" w:rsidRPr="00386B99" w:rsidRDefault="005B12D5" w:rsidP="006C5406">
      <w:pPr>
        <w:pStyle w:val="Retraitcorpsdetexte3"/>
        <w:spacing w:after="0"/>
        <w:ind w:left="0"/>
        <w:jc w:val="both"/>
        <w:rPr>
          <w:rFonts w:ascii="Calibri" w:hAnsi="Calibri"/>
          <w:bCs/>
          <w:sz w:val="22"/>
          <w:szCs w:val="22"/>
        </w:rPr>
      </w:pPr>
      <w:r w:rsidRPr="00386B99">
        <w:rPr>
          <w:rFonts w:ascii="Calibri" w:hAnsi="Calibri"/>
          <w:bCs/>
          <w:sz w:val="22"/>
          <w:szCs w:val="22"/>
        </w:rPr>
        <w:t xml:space="preserve">Pour être payé, </w:t>
      </w:r>
      <w:r w:rsidR="006C5406">
        <w:rPr>
          <w:rFonts w:ascii="Calibri" w:hAnsi="Calibri"/>
          <w:bCs/>
          <w:sz w:val="22"/>
          <w:szCs w:val="22"/>
        </w:rPr>
        <w:t xml:space="preserve">l’adjudicataire doit </w:t>
      </w:r>
      <w:r w:rsidR="00BA16B6" w:rsidRPr="00386B99">
        <w:rPr>
          <w:rFonts w:ascii="Calibri" w:hAnsi="Calibri"/>
          <w:bCs/>
          <w:sz w:val="22"/>
          <w:szCs w:val="22"/>
        </w:rPr>
        <w:t xml:space="preserve">obligatoirement joindre à </w:t>
      </w:r>
      <w:r w:rsidR="006C5406">
        <w:rPr>
          <w:rFonts w:ascii="Calibri" w:hAnsi="Calibri"/>
          <w:bCs/>
          <w:sz w:val="22"/>
          <w:szCs w:val="22"/>
        </w:rPr>
        <w:t>sa</w:t>
      </w:r>
      <w:r w:rsidR="00BA16B6" w:rsidRPr="00386B99">
        <w:rPr>
          <w:rFonts w:ascii="Calibri" w:hAnsi="Calibri"/>
          <w:bCs/>
          <w:sz w:val="22"/>
          <w:szCs w:val="22"/>
        </w:rPr>
        <w:t xml:space="preserve"> facture un état détaillé des frais et honoraires </w:t>
      </w:r>
      <w:r w:rsidR="006C5406" w:rsidRPr="006C5406">
        <w:rPr>
          <w:rFonts w:ascii="Calibri" w:hAnsi="Calibri"/>
          <w:bCs/>
          <w:sz w:val="22"/>
          <w:szCs w:val="22"/>
          <w:highlight w:val="yellow"/>
        </w:rPr>
        <w:t xml:space="preserve">[indiquer en cas de contentieux : </w:t>
      </w:r>
      <w:r w:rsidR="00BA16B6" w:rsidRPr="006C5406">
        <w:rPr>
          <w:rFonts w:ascii="Calibri" w:hAnsi="Calibri"/>
          <w:bCs/>
          <w:sz w:val="22"/>
          <w:szCs w:val="22"/>
          <w:highlight w:val="yellow"/>
        </w:rPr>
        <w:t>et, le cas échéant, les sommes déduites correspondant aux indemnités de procédure reçues ou à recevoir</w:t>
      </w:r>
      <w:r w:rsidR="006C5406">
        <w:rPr>
          <w:rFonts w:ascii="Calibri" w:hAnsi="Calibri"/>
          <w:bCs/>
          <w:sz w:val="22"/>
          <w:szCs w:val="22"/>
          <w:highlight w:val="yellow"/>
        </w:rPr>
        <w:t>]</w:t>
      </w:r>
      <w:r w:rsidR="00BA16B6" w:rsidRPr="00386B99">
        <w:rPr>
          <w:rFonts w:ascii="Calibri" w:hAnsi="Calibri"/>
          <w:bCs/>
          <w:sz w:val="22"/>
          <w:szCs w:val="22"/>
        </w:rPr>
        <w:t>. Cet état indiquera très clairement, pour chaque prestation, au minimum :</w:t>
      </w:r>
    </w:p>
    <w:p w:rsidR="00BA16B6" w:rsidRPr="0065358E" w:rsidRDefault="00BA16B6" w:rsidP="00672082">
      <w:pPr>
        <w:pStyle w:val="Retraitcorpsdetexte3"/>
        <w:numPr>
          <w:ilvl w:val="0"/>
          <w:numId w:val="9"/>
        </w:numPr>
        <w:tabs>
          <w:tab w:val="left" w:pos="993"/>
        </w:tabs>
        <w:spacing w:after="0"/>
        <w:ind w:left="993" w:hanging="426"/>
        <w:jc w:val="both"/>
        <w:rPr>
          <w:rFonts w:ascii="Calibri" w:hAnsi="Calibri"/>
          <w:bCs/>
          <w:sz w:val="22"/>
          <w:szCs w:val="22"/>
        </w:rPr>
      </w:pPr>
      <w:r w:rsidRPr="00386B99">
        <w:rPr>
          <w:rFonts w:ascii="Calibri" w:hAnsi="Calibri"/>
          <w:bCs/>
          <w:sz w:val="22"/>
          <w:szCs w:val="22"/>
        </w:rPr>
        <w:t xml:space="preserve">le nom et </w:t>
      </w:r>
      <w:r w:rsidRPr="0065358E">
        <w:rPr>
          <w:rFonts w:ascii="Calibri" w:hAnsi="Calibri"/>
          <w:bCs/>
          <w:sz w:val="22"/>
          <w:szCs w:val="22"/>
        </w:rPr>
        <w:t>les références du dossier (références du client) ;</w:t>
      </w:r>
    </w:p>
    <w:p w:rsidR="00BA16B6" w:rsidRPr="0065358E" w:rsidRDefault="00BA16B6" w:rsidP="00672082">
      <w:pPr>
        <w:pStyle w:val="Retraitcorpsdetexte3"/>
        <w:numPr>
          <w:ilvl w:val="0"/>
          <w:numId w:val="9"/>
        </w:numPr>
        <w:tabs>
          <w:tab w:val="left" w:pos="993"/>
        </w:tabs>
        <w:spacing w:after="0"/>
        <w:ind w:left="993" w:hanging="426"/>
        <w:jc w:val="both"/>
        <w:rPr>
          <w:rFonts w:ascii="Calibri" w:hAnsi="Calibri"/>
          <w:bCs/>
          <w:sz w:val="22"/>
          <w:szCs w:val="22"/>
        </w:rPr>
      </w:pPr>
      <w:r w:rsidRPr="0065358E">
        <w:rPr>
          <w:rFonts w:ascii="Calibri" w:hAnsi="Calibri"/>
          <w:bCs/>
          <w:sz w:val="22"/>
          <w:szCs w:val="22"/>
        </w:rPr>
        <w:t>la date de la prestation ;</w:t>
      </w:r>
    </w:p>
    <w:p w:rsidR="006C5406" w:rsidRPr="0065358E" w:rsidRDefault="006C5406" w:rsidP="00672082">
      <w:pPr>
        <w:pStyle w:val="Retraitcorpsdetexte3"/>
        <w:numPr>
          <w:ilvl w:val="0"/>
          <w:numId w:val="9"/>
        </w:numPr>
        <w:tabs>
          <w:tab w:val="left" w:pos="993"/>
        </w:tabs>
        <w:spacing w:after="0"/>
        <w:ind w:left="993" w:hanging="426"/>
        <w:jc w:val="both"/>
        <w:rPr>
          <w:rFonts w:ascii="Calibri" w:hAnsi="Calibri"/>
          <w:bCs/>
          <w:sz w:val="22"/>
          <w:szCs w:val="22"/>
        </w:rPr>
      </w:pPr>
      <w:r w:rsidRPr="0065358E">
        <w:rPr>
          <w:rFonts w:ascii="Calibri" w:hAnsi="Calibri"/>
          <w:bCs/>
          <w:sz w:val="22"/>
          <w:szCs w:val="22"/>
        </w:rPr>
        <w:t>le nom de l’avocat ;</w:t>
      </w:r>
    </w:p>
    <w:p w:rsidR="006C5406" w:rsidRPr="0065358E" w:rsidRDefault="006C5406" w:rsidP="00672082">
      <w:pPr>
        <w:pStyle w:val="Retraitcorpsdetexte3"/>
        <w:numPr>
          <w:ilvl w:val="0"/>
          <w:numId w:val="9"/>
        </w:numPr>
        <w:tabs>
          <w:tab w:val="left" w:pos="993"/>
        </w:tabs>
        <w:spacing w:after="0"/>
        <w:ind w:left="993" w:hanging="426"/>
        <w:jc w:val="both"/>
        <w:rPr>
          <w:rFonts w:ascii="Calibri" w:hAnsi="Calibri"/>
          <w:bCs/>
          <w:sz w:val="22"/>
          <w:szCs w:val="22"/>
        </w:rPr>
      </w:pPr>
      <w:r w:rsidRPr="0065358E">
        <w:rPr>
          <w:rFonts w:ascii="Calibri" w:hAnsi="Calibri"/>
          <w:bCs/>
          <w:sz w:val="22"/>
          <w:szCs w:val="22"/>
        </w:rPr>
        <w:t>le type de prestation avec un bref descriptif (exemples: analyse - recherche juridique quant à.., rédaction de la consultation/conclusion, déplacement de.. à .., entretien téléphonique avec Monsieur Y ",  etc.)</w:t>
      </w:r>
    </w:p>
    <w:p w:rsidR="00BA16B6" w:rsidRPr="0065358E" w:rsidRDefault="006C5406" w:rsidP="00672082">
      <w:pPr>
        <w:numPr>
          <w:ilvl w:val="0"/>
          <w:numId w:val="9"/>
        </w:numPr>
        <w:tabs>
          <w:tab w:val="left" w:pos="993"/>
        </w:tabs>
        <w:ind w:left="993" w:hanging="426"/>
        <w:jc w:val="both"/>
        <w:rPr>
          <w:rFonts w:ascii="Calibri" w:hAnsi="Calibri"/>
          <w:sz w:val="22"/>
          <w:szCs w:val="22"/>
        </w:rPr>
      </w:pPr>
      <w:r w:rsidRPr="0065358E">
        <w:rPr>
          <w:rFonts w:ascii="Calibri" w:hAnsi="Calibri"/>
          <w:sz w:val="22"/>
          <w:szCs w:val="22"/>
          <w:highlight w:val="yellow"/>
        </w:rPr>
        <w:t>[Si vous procédez par tarif horaire forfaitaire unique, indiquer : la durée de la prestation (exprimée en minutes et en heures)</w:t>
      </w:r>
      <w:r w:rsidR="00BA16B6" w:rsidRPr="0065358E">
        <w:rPr>
          <w:rFonts w:ascii="Calibri" w:hAnsi="Calibri"/>
          <w:bCs/>
          <w:sz w:val="22"/>
          <w:szCs w:val="22"/>
        </w:rPr>
        <w:t xml:space="preserve"> </w:t>
      </w:r>
    </w:p>
    <w:p w:rsidR="006C5406" w:rsidRDefault="006C5406" w:rsidP="006C5406">
      <w:pPr>
        <w:pStyle w:val="Retraitcorpsdetexte3"/>
        <w:spacing w:after="0"/>
        <w:ind w:left="0"/>
        <w:jc w:val="both"/>
        <w:rPr>
          <w:rFonts w:ascii="Calibri" w:hAnsi="Calibri"/>
          <w:bCs/>
          <w:sz w:val="22"/>
          <w:szCs w:val="22"/>
        </w:rPr>
      </w:pPr>
    </w:p>
    <w:p w:rsidR="00BA16B6" w:rsidRPr="00386B99" w:rsidRDefault="00BA16B6" w:rsidP="006C5406">
      <w:pPr>
        <w:pStyle w:val="Retraitcorpsdetexte3"/>
        <w:spacing w:after="0"/>
        <w:ind w:left="0"/>
        <w:jc w:val="both"/>
        <w:rPr>
          <w:rFonts w:ascii="Calibri" w:hAnsi="Calibri"/>
          <w:bCs/>
          <w:sz w:val="22"/>
          <w:szCs w:val="22"/>
        </w:rPr>
      </w:pPr>
      <w:r w:rsidRPr="00386B99">
        <w:rPr>
          <w:rFonts w:ascii="Calibri" w:hAnsi="Calibri"/>
          <w:bCs/>
          <w:sz w:val="22"/>
          <w:szCs w:val="22"/>
        </w:rPr>
        <w:t xml:space="preserve">Le paiement des prestations effectuées intervient dans un délai de trente jours de calendrier à compter de </w:t>
      </w:r>
      <w:r w:rsidR="00386B99" w:rsidRPr="00386B99">
        <w:rPr>
          <w:rFonts w:ascii="Calibri" w:hAnsi="Calibri"/>
          <w:bCs/>
          <w:sz w:val="22"/>
          <w:szCs w:val="22"/>
        </w:rPr>
        <w:t>la réception de la prestation</w:t>
      </w:r>
      <w:r w:rsidR="00672082">
        <w:rPr>
          <w:rFonts w:ascii="Calibri" w:hAnsi="Calibri"/>
          <w:bCs/>
          <w:sz w:val="22"/>
          <w:szCs w:val="22"/>
        </w:rPr>
        <w:t xml:space="preserve"> (cf. rubrique ci-dessous)</w:t>
      </w:r>
      <w:r w:rsidRPr="00386B99">
        <w:rPr>
          <w:rFonts w:ascii="Calibri" w:hAnsi="Calibri"/>
          <w:bCs/>
          <w:sz w:val="22"/>
          <w:szCs w:val="22"/>
        </w:rPr>
        <w:t xml:space="preserve"> pour autant que </w:t>
      </w:r>
      <w:r w:rsidR="00386B99" w:rsidRPr="00386B99">
        <w:rPr>
          <w:rFonts w:ascii="Calibri" w:hAnsi="Calibri"/>
          <w:bCs/>
          <w:sz w:val="22"/>
          <w:szCs w:val="22"/>
        </w:rPr>
        <w:t xml:space="preserve">le pouvoir adjudicateur ait été mis en possession de la facture dressée conformément aux prescriptions indiquées ci-avant. </w:t>
      </w:r>
    </w:p>
    <w:p w:rsidR="0065358E" w:rsidRDefault="0065358E" w:rsidP="006C5406">
      <w:pPr>
        <w:jc w:val="both"/>
        <w:rPr>
          <w:rFonts w:ascii="Calibri" w:hAnsi="Calibri"/>
          <w:bCs/>
          <w:sz w:val="22"/>
          <w:szCs w:val="22"/>
        </w:rPr>
      </w:pPr>
    </w:p>
    <w:p w:rsidR="005B12D5" w:rsidRDefault="00386B99" w:rsidP="006C5406">
      <w:pPr>
        <w:jc w:val="both"/>
        <w:rPr>
          <w:rFonts w:ascii="Calibri" w:hAnsi="Calibri"/>
          <w:bCs/>
          <w:sz w:val="22"/>
          <w:szCs w:val="22"/>
        </w:rPr>
      </w:pPr>
      <w:r>
        <w:rPr>
          <w:rFonts w:ascii="Calibri" w:hAnsi="Calibri"/>
          <w:bCs/>
          <w:sz w:val="22"/>
          <w:szCs w:val="22"/>
        </w:rPr>
        <w:lastRenderedPageBreak/>
        <w:t xml:space="preserve">Le retard de paiement </w:t>
      </w:r>
      <w:r w:rsidR="005B12D5" w:rsidRPr="002946D7">
        <w:rPr>
          <w:rFonts w:ascii="Calibri" w:hAnsi="Calibri"/>
          <w:bCs/>
          <w:sz w:val="22"/>
          <w:szCs w:val="22"/>
        </w:rPr>
        <w:t>entraîne de plein droit et sans mise en demeure, la débition d’un intérêt conventionnel identique à celui renseigné à l’article 69 de l’AR du 14 janvier 2013.</w:t>
      </w:r>
    </w:p>
    <w:p w:rsidR="00A90BE1" w:rsidRDefault="00A90BE1" w:rsidP="006C5406">
      <w:pPr>
        <w:jc w:val="both"/>
        <w:rPr>
          <w:rFonts w:ascii="Calibri" w:hAnsi="Calibri"/>
          <w:bCs/>
          <w:sz w:val="22"/>
          <w:szCs w:val="22"/>
        </w:rPr>
      </w:pPr>
    </w:p>
    <w:p w:rsidR="00A90BE1" w:rsidRPr="00C742C0" w:rsidRDefault="00A90BE1" w:rsidP="00A90BE1">
      <w:pPr>
        <w:pStyle w:val="Sansinterligne"/>
        <w:ind w:right="-437"/>
        <w:jc w:val="both"/>
      </w:pPr>
      <w:r w:rsidRPr="00C742C0">
        <w:t>Les factures</w:t>
      </w:r>
      <w:r w:rsidR="00484A73">
        <w:t xml:space="preserve"> </w:t>
      </w:r>
      <w:r w:rsidRPr="00C742C0">
        <w:t xml:space="preserve">sont </w:t>
      </w:r>
      <w:r w:rsidR="00484A73">
        <w:t>doivent </w:t>
      </w:r>
      <w:r w:rsidRPr="00C742C0">
        <w:rPr>
          <w:highlight w:val="yellow"/>
        </w:rPr>
        <w:t>[</w:t>
      </w:r>
      <w:r w:rsidR="00484A73">
        <w:rPr>
          <w:highlight w:val="yellow"/>
        </w:rPr>
        <w:t>Indiquer les modalités de transmission de facture propres à votre DG/SG, à savoir : à qui transmettre – comment transmettre (ex : par envoi postal ou mail) – sous quelle forme (ex : facture originale ou copie scannée</w:t>
      </w:r>
      <w:r w:rsidRPr="00C742C0">
        <w:rPr>
          <w:highlight w:val="yellow"/>
        </w:rPr>
        <w:t>]</w:t>
      </w:r>
      <w:r w:rsidR="00484A73">
        <w:t>.</w:t>
      </w:r>
    </w:p>
    <w:p w:rsidR="002946D7" w:rsidRPr="00381260" w:rsidRDefault="002946D7" w:rsidP="006C5406">
      <w:pPr>
        <w:jc w:val="both"/>
        <w:rPr>
          <w:rFonts w:ascii="Calibri" w:hAnsi="Calibri"/>
          <w:bCs/>
          <w:sz w:val="22"/>
          <w:szCs w:val="22"/>
        </w:rPr>
      </w:pPr>
    </w:p>
    <w:p w:rsidR="002946D7" w:rsidRPr="002946D7" w:rsidRDefault="002946D7" w:rsidP="006C5406">
      <w:pPr>
        <w:rPr>
          <w:rFonts w:ascii="Calibri" w:hAnsi="Calibri"/>
          <w:b/>
          <w:bCs/>
          <w:sz w:val="22"/>
          <w:szCs w:val="22"/>
        </w:rPr>
      </w:pPr>
      <w:r w:rsidRPr="002946D7">
        <w:rPr>
          <w:rFonts w:ascii="Calibri" w:hAnsi="Calibri"/>
          <w:b/>
          <w:bCs/>
          <w:sz w:val="22"/>
          <w:szCs w:val="22"/>
        </w:rPr>
        <w:t>Réception</w:t>
      </w:r>
    </w:p>
    <w:p w:rsidR="002946D7" w:rsidRDefault="002946D7" w:rsidP="002946D7">
      <w:pPr>
        <w:pBdr>
          <w:bottom w:val="single" w:sz="4" w:space="1" w:color="auto"/>
        </w:pBdr>
        <w:rPr>
          <w:rFonts w:ascii="Calibri" w:hAnsi="Calibri"/>
          <w:bCs/>
          <w:sz w:val="22"/>
          <w:szCs w:val="22"/>
        </w:rPr>
      </w:pPr>
    </w:p>
    <w:p w:rsidR="002946D7" w:rsidRDefault="002946D7" w:rsidP="002946D7">
      <w:pPr>
        <w:jc w:val="both"/>
        <w:rPr>
          <w:rFonts w:ascii="Calibri" w:hAnsi="Calibri"/>
          <w:bCs/>
          <w:sz w:val="22"/>
          <w:szCs w:val="22"/>
        </w:rPr>
      </w:pPr>
    </w:p>
    <w:p w:rsidR="002946D7" w:rsidRPr="006B2CF2" w:rsidRDefault="002946D7" w:rsidP="002946D7">
      <w:pPr>
        <w:jc w:val="both"/>
        <w:rPr>
          <w:rFonts w:ascii="Calibri" w:hAnsi="Calibri"/>
          <w:bCs/>
          <w:sz w:val="22"/>
          <w:szCs w:val="22"/>
        </w:rPr>
      </w:pPr>
      <w:r w:rsidRPr="006B2CF2">
        <w:rPr>
          <w:rFonts w:ascii="Calibri" w:hAnsi="Calibri"/>
          <w:bCs/>
          <w:sz w:val="22"/>
          <w:szCs w:val="22"/>
        </w:rPr>
        <w:t xml:space="preserve">A défaut de contestation écrite dans les </w:t>
      </w:r>
      <w:r w:rsidR="00386B99">
        <w:rPr>
          <w:rFonts w:ascii="Calibri" w:hAnsi="Calibri"/>
          <w:bCs/>
          <w:sz w:val="22"/>
          <w:szCs w:val="22"/>
        </w:rPr>
        <w:t>30</w:t>
      </w:r>
      <w:r w:rsidRPr="006B2CF2">
        <w:rPr>
          <w:rFonts w:ascii="Calibri" w:hAnsi="Calibri"/>
          <w:bCs/>
          <w:sz w:val="22"/>
          <w:szCs w:val="22"/>
        </w:rPr>
        <w:t xml:space="preserve"> jours de la fin des prestations, celles-ci sont considérées comme acceptées définitivement</w:t>
      </w:r>
      <w:r w:rsidR="00672082">
        <w:rPr>
          <w:rFonts w:ascii="Calibri" w:hAnsi="Calibri"/>
          <w:bCs/>
          <w:sz w:val="22"/>
          <w:szCs w:val="22"/>
        </w:rPr>
        <w:t xml:space="preserve"> et donc réceptionnée</w:t>
      </w:r>
      <w:r w:rsidRPr="006B2CF2">
        <w:rPr>
          <w:rFonts w:ascii="Calibri" w:hAnsi="Calibri"/>
          <w:bCs/>
          <w:sz w:val="22"/>
          <w:szCs w:val="22"/>
        </w:rPr>
        <w:t>.</w:t>
      </w:r>
    </w:p>
    <w:p w:rsidR="008F5331" w:rsidRDefault="008F5331" w:rsidP="00FC763F">
      <w:pPr>
        <w:rPr>
          <w:rFonts w:ascii="Calibri" w:hAnsi="Calibri"/>
          <w:bCs/>
          <w:sz w:val="22"/>
          <w:szCs w:val="22"/>
        </w:rPr>
      </w:pPr>
    </w:p>
    <w:p w:rsidR="002946D7" w:rsidRDefault="008F5331" w:rsidP="00FC763F">
      <w:pPr>
        <w:rPr>
          <w:rFonts w:ascii="Calibri" w:hAnsi="Calibri"/>
          <w:b/>
          <w:bCs/>
          <w:sz w:val="22"/>
          <w:szCs w:val="22"/>
        </w:rPr>
      </w:pPr>
      <w:r w:rsidRPr="008F5331">
        <w:rPr>
          <w:rFonts w:ascii="Calibri" w:hAnsi="Calibri"/>
          <w:b/>
          <w:bCs/>
          <w:sz w:val="22"/>
          <w:szCs w:val="22"/>
        </w:rPr>
        <w:t>Droit applicable et juridictions compétentes</w:t>
      </w:r>
    </w:p>
    <w:p w:rsidR="008F5331" w:rsidRDefault="008F5331" w:rsidP="008F5331">
      <w:pPr>
        <w:pBdr>
          <w:bottom w:val="single" w:sz="4" w:space="1" w:color="auto"/>
        </w:pBdr>
        <w:rPr>
          <w:rFonts w:ascii="Tahoma" w:hAnsi="Tahoma"/>
          <w:b/>
          <w:sz w:val="22"/>
          <w:lang w:val="fr-BE"/>
        </w:rPr>
      </w:pPr>
    </w:p>
    <w:p w:rsidR="008F5331" w:rsidRPr="008F5331" w:rsidRDefault="008F5331" w:rsidP="00FC763F">
      <w:pPr>
        <w:rPr>
          <w:rFonts w:ascii="Tahoma" w:hAnsi="Tahoma"/>
          <w:b/>
          <w:sz w:val="22"/>
          <w:lang w:val="fr-BE"/>
        </w:rPr>
      </w:pPr>
    </w:p>
    <w:p w:rsidR="008F5331" w:rsidRPr="0049442D" w:rsidRDefault="008F5331" w:rsidP="008F5331">
      <w:pPr>
        <w:ind w:left="5"/>
        <w:jc w:val="both"/>
        <w:rPr>
          <w:rFonts w:ascii="Calibri" w:hAnsi="Calibri"/>
          <w:bCs/>
          <w:sz w:val="22"/>
          <w:szCs w:val="22"/>
        </w:rPr>
      </w:pPr>
      <w:r w:rsidRPr="0049442D">
        <w:rPr>
          <w:rFonts w:ascii="Calibri" w:hAnsi="Calibri"/>
          <w:bCs/>
          <w:sz w:val="22"/>
          <w:szCs w:val="22"/>
        </w:rPr>
        <w:t>Le marché est régi par le droit belge.</w:t>
      </w:r>
      <w:r>
        <w:rPr>
          <w:rFonts w:ascii="Calibri" w:hAnsi="Calibri"/>
          <w:bCs/>
          <w:sz w:val="22"/>
          <w:szCs w:val="22"/>
        </w:rPr>
        <w:t xml:space="preserve"> </w:t>
      </w:r>
      <w:r w:rsidRPr="0049442D">
        <w:rPr>
          <w:rFonts w:ascii="Calibri" w:hAnsi="Calibri"/>
          <w:bCs/>
          <w:sz w:val="22"/>
          <w:szCs w:val="22"/>
        </w:rPr>
        <w:t>Tout litige relatif à l’interprétation ou à l’exécution du présent marché est de la compétence des juridictions de Namur.</w:t>
      </w:r>
    </w:p>
    <w:p w:rsidR="00B90117" w:rsidRDefault="00B90117">
      <w:pPr>
        <w:jc w:val="both"/>
        <w:rPr>
          <w:rFonts w:ascii="Tahoma" w:hAnsi="Tahoma"/>
          <w:sz w:val="22"/>
          <w:lang w:val="fr-BE"/>
        </w:rPr>
      </w:pPr>
    </w:p>
    <w:p w:rsidR="00132F05" w:rsidRPr="001B74D9" w:rsidRDefault="00132F05" w:rsidP="00672082">
      <w:pPr>
        <w:pStyle w:val="Sansinterligne"/>
        <w:ind w:left="5103" w:right="-437"/>
        <w:jc w:val="both"/>
      </w:pPr>
      <w:r w:rsidRPr="001B74D9">
        <w:t xml:space="preserve">Le </w:t>
      </w:r>
      <w:r w:rsidRPr="001B74D9">
        <w:rPr>
          <w:highlight w:val="yellow"/>
        </w:rPr>
        <w:t>[à compléter</w:t>
      </w:r>
      <w:r w:rsidR="009131D4">
        <w:rPr>
          <w:highlight w:val="yellow"/>
        </w:rPr>
        <w:t xml:space="preserve"> - date</w:t>
      </w:r>
      <w:r w:rsidRPr="001B74D9">
        <w:rPr>
          <w:highlight w:val="yellow"/>
        </w:rPr>
        <w:t>]</w:t>
      </w:r>
    </w:p>
    <w:p w:rsidR="00132F05" w:rsidRPr="001B74D9" w:rsidRDefault="00132F05" w:rsidP="00672082">
      <w:pPr>
        <w:pStyle w:val="Sansinterligne"/>
        <w:ind w:left="5103" w:right="-437"/>
        <w:jc w:val="both"/>
      </w:pPr>
      <w:r w:rsidRPr="001B74D9">
        <w:t>Pour la Région wallonne,</w:t>
      </w:r>
    </w:p>
    <w:p w:rsidR="00132F05" w:rsidRPr="001B74D9" w:rsidRDefault="00132F05" w:rsidP="00672082">
      <w:pPr>
        <w:pStyle w:val="Sansinterligne"/>
        <w:ind w:left="5103" w:right="-437"/>
        <w:jc w:val="both"/>
      </w:pPr>
    </w:p>
    <w:p w:rsidR="00132F05" w:rsidRDefault="00132F05" w:rsidP="00672082">
      <w:pPr>
        <w:pStyle w:val="Sansinterligne"/>
        <w:ind w:left="5103" w:right="-437"/>
        <w:jc w:val="both"/>
      </w:pPr>
      <w:r w:rsidRPr="001B74D9">
        <w:rPr>
          <w:highlight w:val="yellow"/>
        </w:rPr>
        <w:t>[Signature]</w:t>
      </w:r>
    </w:p>
    <w:p w:rsidR="00D44874" w:rsidRPr="009131D4" w:rsidRDefault="00132F05" w:rsidP="00672082">
      <w:pPr>
        <w:pStyle w:val="Sansinterligne"/>
        <w:spacing w:before="60"/>
        <w:ind w:left="5103" w:right="-11"/>
        <w:jc w:val="both"/>
        <w:rPr>
          <w:sz w:val="20"/>
          <w:szCs w:val="20"/>
          <w:highlight w:val="lightGray"/>
        </w:rPr>
      </w:pPr>
      <w:r w:rsidRPr="009131D4">
        <w:rPr>
          <w:sz w:val="20"/>
          <w:szCs w:val="20"/>
          <w:highlight w:val="lightGray"/>
        </w:rPr>
        <w:t xml:space="preserve">Pour savoir qui doit signer le </w:t>
      </w:r>
      <w:r w:rsidR="008F5331" w:rsidRPr="009131D4">
        <w:rPr>
          <w:sz w:val="20"/>
          <w:szCs w:val="20"/>
          <w:highlight w:val="lightGray"/>
        </w:rPr>
        <w:t>descriptif de marché</w:t>
      </w:r>
      <w:r w:rsidRPr="009131D4">
        <w:rPr>
          <w:sz w:val="20"/>
          <w:szCs w:val="20"/>
          <w:highlight w:val="lightGray"/>
        </w:rPr>
        <w:t>, il faut s’en référer à l’AGW du 8/10/2009 relatif aux délégations de pouvoirs aux agents statutaires du Service public de Wallonie</w:t>
      </w:r>
      <w:r w:rsidR="00672082" w:rsidRPr="009131D4">
        <w:rPr>
          <w:sz w:val="20"/>
          <w:szCs w:val="20"/>
          <w:highlight w:val="lightGray"/>
        </w:rPr>
        <w:t>.</w:t>
      </w:r>
    </w:p>
    <w:sectPr w:rsidR="00D44874" w:rsidRPr="009131D4">
      <w:headerReference w:type="default" r:id="rId9"/>
      <w:footerReference w:type="default" r:id="rId10"/>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F0C" w:rsidRDefault="004A1F0C" w:rsidP="00D44874">
      <w:r>
        <w:separator/>
      </w:r>
    </w:p>
  </w:endnote>
  <w:endnote w:type="continuationSeparator" w:id="0">
    <w:p w:rsidR="004A1F0C" w:rsidRDefault="004A1F0C" w:rsidP="00D44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EB" w:rsidRDefault="00440DEB" w:rsidP="00B03D77">
    <w:pPr>
      <w:pStyle w:val="Pieddepage"/>
      <w:pBdr>
        <w:top w:val="thinThickSmallGap" w:sz="24" w:space="1" w:color="622423"/>
      </w:pBdr>
      <w:tabs>
        <w:tab w:val="clear" w:pos="4536"/>
        <w:tab w:val="right" w:pos="9072"/>
      </w:tabs>
      <w:rPr>
        <w:rFonts w:ascii="Cambria" w:hAnsi="Cambria"/>
      </w:rPr>
    </w:pPr>
    <w:r>
      <w:rPr>
        <w:rFonts w:ascii="Cambria" w:hAnsi="Cambria"/>
      </w:rPr>
      <w:t>Descriptif de marché (contentieux + consultance &lt; 30.000€ Htva) - Version 08/05/2018</w:t>
    </w:r>
    <w:r>
      <w:rPr>
        <w:rFonts w:ascii="Cambria" w:hAnsi="Cambria"/>
      </w:rPr>
      <w:tab/>
      <w:t xml:space="preserve">Page </w:t>
    </w:r>
    <w:fldSimple w:instr=" PAGE   \* MERGEFORMAT ">
      <w:r w:rsidR="000E0225" w:rsidRPr="000E0225">
        <w:rPr>
          <w:rFonts w:ascii="Cambria" w:hAnsi="Cambria"/>
          <w:noProof/>
        </w:rPr>
        <w:t>1</w:t>
      </w:r>
    </w:fldSimple>
  </w:p>
  <w:p w:rsidR="00440DEB" w:rsidRDefault="00440DE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F0C" w:rsidRDefault="004A1F0C" w:rsidP="00D44874">
      <w:r>
        <w:separator/>
      </w:r>
    </w:p>
  </w:footnote>
  <w:footnote w:type="continuationSeparator" w:id="0">
    <w:p w:rsidR="004A1F0C" w:rsidRDefault="004A1F0C" w:rsidP="00D44874">
      <w:r>
        <w:continuationSeparator/>
      </w:r>
    </w:p>
  </w:footnote>
  <w:footnote w:id="1">
    <w:p w:rsidR="00440DEB" w:rsidRDefault="00440DEB">
      <w:pPr>
        <w:pStyle w:val="Notedebasdepage"/>
        <w:rPr>
          <w:vertAlign w:val="superscript"/>
          <w:lang w:val="fr-BE"/>
        </w:rPr>
      </w:pPr>
      <w:r w:rsidRPr="002B2C0B">
        <w:rPr>
          <w:rStyle w:val="Appelnotedebasdep"/>
        </w:rPr>
        <w:footnoteRef/>
      </w:r>
      <w:r w:rsidRPr="002B2C0B">
        <w:rPr>
          <w:vertAlign w:val="superscript"/>
        </w:rPr>
        <w:t xml:space="preserve"> </w:t>
      </w:r>
      <w:r>
        <w:rPr>
          <w:vertAlign w:val="superscript"/>
        </w:rPr>
        <w:t xml:space="preserve">Le contenu de cette rubrique est </w:t>
      </w:r>
      <w:r w:rsidRPr="002B2C0B">
        <w:rPr>
          <w:vertAlign w:val="superscript"/>
          <w:lang w:val="fr-BE"/>
        </w:rPr>
        <w:t>une proposition qui peut être modalisée</w:t>
      </w:r>
      <w:r>
        <w:rPr>
          <w:vertAlign w:val="superscript"/>
          <w:lang w:val="fr-BE"/>
        </w:rPr>
        <w:t>/précisée</w:t>
      </w:r>
      <w:r w:rsidRPr="002B2C0B">
        <w:rPr>
          <w:vertAlign w:val="superscript"/>
          <w:lang w:val="fr-BE"/>
        </w:rPr>
        <w:t xml:space="preserve"> </w:t>
      </w:r>
      <w:r>
        <w:rPr>
          <w:vertAlign w:val="superscript"/>
          <w:lang w:val="fr-BE"/>
        </w:rPr>
        <w:t>en fonction de</w:t>
      </w:r>
      <w:r w:rsidRPr="002B2C0B">
        <w:rPr>
          <w:vertAlign w:val="superscript"/>
          <w:lang w:val="fr-BE"/>
        </w:rPr>
        <w:t xml:space="preserve"> vos besoins.</w:t>
      </w:r>
    </w:p>
    <w:p w:rsidR="00440DEB" w:rsidRPr="002B2C0B" w:rsidRDefault="00440DEB">
      <w:pPr>
        <w:pStyle w:val="Notedebasdepage"/>
        <w:rPr>
          <w:vertAlign w:val="superscript"/>
          <w:lang w:val="fr-BE"/>
        </w:rPr>
      </w:pPr>
    </w:p>
  </w:footnote>
  <w:footnote w:id="2">
    <w:p w:rsidR="00440DEB" w:rsidRPr="002B2C0B" w:rsidRDefault="00440DEB">
      <w:pPr>
        <w:pStyle w:val="Notedebasdepage"/>
        <w:rPr>
          <w:lang w:val="fr-BE"/>
        </w:rPr>
      </w:pPr>
      <w:r>
        <w:rPr>
          <w:rStyle w:val="Appelnotedebasdep"/>
        </w:rPr>
        <w:footnoteRef/>
      </w:r>
      <w:r>
        <w:t xml:space="preserve"> </w:t>
      </w:r>
      <w:r>
        <w:rPr>
          <w:vertAlign w:val="superscript"/>
          <w:lang w:val="fr-BE"/>
        </w:rPr>
        <w:t>V</w:t>
      </w:r>
      <w:r w:rsidRPr="006A5A9E">
        <w:rPr>
          <w:vertAlign w:val="superscript"/>
          <w:lang w:val="fr-BE"/>
        </w:rPr>
        <w:t>e</w:t>
      </w:r>
      <w:r>
        <w:rPr>
          <w:vertAlign w:val="superscript"/>
          <w:lang w:val="fr-BE"/>
        </w:rPr>
        <w:t>illez à la cohérence de vos choix eu égard au contenu de la rubrique « objet »</w:t>
      </w:r>
      <w:r w:rsidRPr="002B2C0B">
        <w:rPr>
          <w:vertAlign w:val="superscript"/>
          <w:lang w:val="fr-BE"/>
        </w:rPr>
        <w:t>.</w:t>
      </w:r>
    </w:p>
  </w:footnote>
  <w:footnote w:id="3">
    <w:p w:rsidR="00440DEB" w:rsidRPr="006A5A9E" w:rsidRDefault="00440DEB">
      <w:pPr>
        <w:pStyle w:val="Notedebasdepage"/>
        <w:rPr>
          <w:lang w:val="fr-BE"/>
        </w:rPr>
      </w:pPr>
      <w:r>
        <w:rPr>
          <w:rStyle w:val="Appelnotedebasdep"/>
        </w:rPr>
        <w:footnoteRef/>
      </w:r>
      <w:r>
        <w:t xml:space="preserve"> </w:t>
      </w:r>
      <w:r w:rsidRPr="006A5A9E">
        <w:rPr>
          <w:vertAlign w:val="superscript"/>
          <w:lang w:val="fr-BE"/>
        </w:rPr>
        <w:t>Veillez à la cohérence de vos choix eu égard au contenu de</w:t>
      </w:r>
      <w:r>
        <w:rPr>
          <w:vertAlign w:val="superscript"/>
          <w:lang w:val="fr-BE"/>
        </w:rPr>
        <w:t>s rubriques « </w:t>
      </w:r>
      <w:r w:rsidRPr="006A5A9E">
        <w:rPr>
          <w:vertAlign w:val="superscript"/>
          <w:lang w:val="fr-BE"/>
        </w:rPr>
        <w:t>objet</w:t>
      </w:r>
      <w:r>
        <w:rPr>
          <w:vertAlign w:val="superscript"/>
          <w:lang w:val="fr-BE"/>
        </w:rPr>
        <w:t> » et « </w:t>
      </w:r>
      <w:r w:rsidRPr="006A5A9E">
        <w:rPr>
          <w:vertAlign w:val="superscript"/>
          <w:lang w:val="fr-BE"/>
        </w:rPr>
        <w:t>c</w:t>
      </w:r>
      <w:r>
        <w:rPr>
          <w:vertAlign w:val="superscript"/>
          <w:lang w:val="fr-BE"/>
        </w:rPr>
        <w:t>hoix de l’adjudicataire »</w:t>
      </w:r>
      <w:r w:rsidRPr="006A5A9E">
        <w:rPr>
          <w:vertAlign w:val="superscript"/>
          <w:lang w:val="fr-B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DEB" w:rsidRDefault="00440DEB">
    <w:pPr>
      <w:pStyle w:val="En-tte"/>
      <w:rPr>
        <w:sz w:val="24"/>
        <w:vertAlign w:val="superscript"/>
      </w:rPr>
    </w:pPr>
    <w:r>
      <w:rPr>
        <w:sz w:val="18"/>
        <w:vertAlign w:val="superscript"/>
      </w:rPr>
      <w:tab/>
    </w:r>
    <w:r>
      <w:rPr>
        <w:sz w:val="18"/>
        <w:vertAlign w:val="superscript"/>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617"/>
    <w:multiLevelType w:val="hybridMultilevel"/>
    <w:tmpl w:val="88C8D7B4"/>
    <w:lvl w:ilvl="0" w:tplc="70D29884">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D484338"/>
    <w:multiLevelType w:val="hybridMultilevel"/>
    <w:tmpl w:val="E17E47B0"/>
    <w:lvl w:ilvl="0" w:tplc="080C0001">
      <w:start w:val="1"/>
      <w:numFmt w:val="bullet"/>
      <w:lvlText w:val=""/>
      <w:lvlJc w:val="left"/>
      <w:pPr>
        <w:ind w:left="1144" w:hanging="360"/>
      </w:pPr>
      <w:rPr>
        <w:rFonts w:ascii="Symbol" w:hAnsi="Symbol" w:hint="default"/>
      </w:rPr>
    </w:lvl>
    <w:lvl w:ilvl="1" w:tplc="080C0003" w:tentative="1">
      <w:start w:val="1"/>
      <w:numFmt w:val="bullet"/>
      <w:lvlText w:val="o"/>
      <w:lvlJc w:val="left"/>
      <w:pPr>
        <w:ind w:left="1864" w:hanging="360"/>
      </w:pPr>
      <w:rPr>
        <w:rFonts w:ascii="Courier New" w:hAnsi="Courier New" w:cs="Courier New" w:hint="default"/>
      </w:rPr>
    </w:lvl>
    <w:lvl w:ilvl="2" w:tplc="080C0005" w:tentative="1">
      <w:start w:val="1"/>
      <w:numFmt w:val="bullet"/>
      <w:lvlText w:val=""/>
      <w:lvlJc w:val="left"/>
      <w:pPr>
        <w:ind w:left="2584" w:hanging="360"/>
      </w:pPr>
      <w:rPr>
        <w:rFonts w:ascii="Wingdings" w:hAnsi="Wingdings" w:hint="default"/>
      </w:rPr>
    </w:lvl>
    <w:lvl w:ilvl="3" w:tplc="080C0001" w:tentative="1">
      <w:start w:val="1"/>
      <w:numFmt w:val="bullet"/>
      <w:lvlText w:val=""/>
      <w:lvlJc w:val="left"/>
      <w:pPr>
        <w:ind w:left="3304" w:hanging="360"/>
      </w:pPr>
      <w:rPr>
        <w:rFonts w:ascii="Symbol" w:hAnsi="Symbol" w:hint="default"/>
      </w:rPr>
    </w:lvl>
    <w:lvl w:ilvl="4" w:tplc="080C0003" w:tentative="1">
      <w:start w:val="1"/>
      <w:numFmt w:val="bullet"/>
      <w:lvlText w:val="o"/>
      <w:lvlJc w:val="left"/>
      <w:pPr>
        <w:ind w:left="4024" w:hanging="360"/>
      </w:pPr>
      <w:rPr>
        <w:rFonts w:ascii="Courier New" w:hAnsi="Courier New" w:cs="Courier New" w:hint="default"/>
      </w:rPr>
    </w:lvl>
    <w:lvl w:ilvl="5" w:tplc="080C0005" w:tentative="1">
      <w:start w:val="1"/>
      <w:numFmt w:val="bullet"/>
      <w:lvlText w:val=""/>
      <w:lvlJc w:val="left"/>
      <w:pPr>
        <w:ind w:left="4744" w:hanging="360"/>
      </w:pPr>
      <w:rPr>
        <w:rFonts w:ascii="Wingdings" w:hAnsi="Wingdings" w:hint="default"/>
      </w:rPr>
    </w:lvl>
    <w:lvl w:ilvl="6" w:tplc="080C0001" w:tentative="1">
      <w:start w:val="1"/>
      <w:numFmt w:val="bullet"/>
      <w:lvlText w:val=""/>
      <w:lvlJc w:val="left"/>
      <w:pPr>
        <w:ind w:left="5464" w:hanging="360"/>
      </w:pPr>
      <w:rPr>
        <w:rFonts w:ascii="Symbol" w:hAnsi="Symbol" w:hint="default"/>
      </w:rPr>
    </w:lvl>
    <w:lvl w:ilvl="7" w:tplc="080C0003" w:tentative="1">
      <w:start w:val="1"/>
      <w:numFmt w:val="bullet"/>
      <w:lvlText w:val="o"/>
      <w:lvlJc w:val="left"/>
      <w:pPr>
        <w:ind w:left="6184" w:hanging="360"/>
      </w:pPr>
      <w:rPr>
        <w:rFonts w:ascii="Courier New" w:hAnsi="Courier New" w:cs="Courier New" w:hint="default"/>
      </w:rPr>
    </w:lvl>
    <w:lvl w:ilvl="8" w:tplc="080C0005" w:tentative="1">
      <w:start w:val="1"/>
      <w:numFmt w:val="bullet"/>
      <w:lvlText w:val=""/>
      <w:lvlJc w:val="left"/>
      <w:pPr>
        <w:ind w:left="6904" w:hanging="360"/>
      </w:pPr>
      <w:rPr>
        <w:rFonts w:ascii="Wingdings" w:hAnsi="Wingdings" w:hint="default"/>
      </w:rPr>
    </w:lvl>
  </w:abstractNum>
  <w:abstractNum w:abstractNumId="2">
    <w:nsid w:val="0F5A1943"/>
    <w:multiLevelType w:val="hybridMultilevel"/>
    <w:tmpl w:val="90DA99D4"/>
    <w:lvl w:ilvl="0" w:tplc="080C0001">
      <w:start w:val="1"/>
      <w:numFmt w:val="bullet"/>
      <w:lvlText w:val=""/>
      <w:lvlJc w:val="left"/>
      <w:pPr>
        <w:ind w:left="1540" w:hanging="360"/>
      </w:pPr>
      <w:rPr>
        <w:rFonts w:ascii="Symbol" w:hAnsi="Symbol" w:hint="default"/>
      </w:rPr>
    </w:lvl>
    <w:lvl w:ilvl="1" w:tplc="080C0003" w:tentative="1">
      <w:start w:val="1"/>
      <w:numFmt w:val="bullet"/>
      <w:lvlText w:val="o"/>
      <w:lvlJc w:val="left"/>
      <w:pPr>
        <w:ind w:left="2260" w:hanging="360"/>
      </w:pPr>
      <w:rPr>
        <w:rFonts w:ascii="Courier New" w:hAnsi="Courier New" w:cs="Courier New" w:hint="default"/>
      </w:rPr>
    </w:lvl>
    <w:lvl w:ilvl="2" w:tplc="080C0005" w:tentative="1">
      <w:start w:val="1"/>
      <w:numFmt w:val="bullet"/>
      <w:lvlText w:val=""/>
      <w:lvlJc w:val="left"/>
      <w:pPr>
        <w:ind w:left="2980" w:hanging="360"/>
      </w:pPr>
      <w:rPr>
        <w:rFonts w:ascii="Wingdings" w:hAnsi="Wingdings" w:hint="default"/>
      </w:rPr>
    </w:lvl>
    <w:lvl w:ilvl="3" w:tplc="080C0001" w:tentative="1">
      <w:start w:val="1"/>
      <w:numFmt w:val="bullet"/>
      <w:lvlText w:val=""/>
      <w:lvlJc w:val="left"/>
      <w:pPr>
        <w:ind w:left="3700" w:hanging="360"/>
      </w:pPr>
      <w:rPr>
        <w:rFonts w:ascii="Symbol" w:hAnsi="Symbol" w:hint="default"/>
      </w:rPr>
    </w:lvl>
    <w:lvl w:ilvl="4" w:tplc="080C0003" w:tentative="1">
      <w:start w:val="1"/>
      <w:numFmt w:val="bullet"/>
      <w:lvlText w:val="o"/>
      <w:lvlJc w:val="left"/>
      <w:pPr>
        <w:ind w:left="4420" w:hanging="360"/>
      </w:pPr>
      <w:rPr>
        <w:rFonts w:ascii="Courier New" w:hAnsi="Courier New" w:cs="Courier New" w:hint="default"/>
      </w:rPr>
    </w:lvl>
    <w:lvl w:ilvl="5" w:tplc="080C0005" w:tentative="1">
      <w:start w:val="1"/>
      <w:numFmt w:val="bullet"/>
      <w:lvlText w:val=""/>
      <w:lvlJc w:val="left"/>
      <w:pPr>
        <w:ind w:left="5140" w:hanging="360"/>
      </w:pPr>
      <w:rPr>
        <w:rFonts w:ascii="Wingdings" w:hAnsi="Wingdings" w:hint="default"/>
      </w:rPr>
    </w:lvl>
    <w:lvl w:ilvl="6" w:tplc="080C0001" w:tentative="1">
      <w:start w:val="1"/>
      <w:numFmt w:val="bullet"/>
      <w:lvlText w:val=""/>
      <w:lvlJc w:val="left"/>
      <w:pPr>
        <w:ind w:left="5860" w:hanging="360"/>
      </w:pPr>
      <w:rPr>
        <w:rFonts w:ascii="Symbol" w:hAnsi="Symbol" w:hint="default"/>
      </w:rPr>
    </w:lvl>
    <w:lvl w:ilvl="7" w:tplc="080C0003" w:tentative="1">
      <w:start w:val="1"/>
      <w:numFmt w:val="bullet"/>
      <w:lvlText w:val="o"/>
      <w:lvlJc w:val="left"/>
      <w:pPr>
        <w:ind w:left="6580" w:hanging="360"/>
      </w:pPr>
      <w:rPr>
        <w:rFonts w:ascii="Courier New" w:hAnsi="Courier New" w:cs="Courier New" w:hint="default"/>
      </w:rPr>
    </w:lvl>
    <w:lvl w:ilvl="8" w:tplc="080C0005" w:tentative="1">
      <w:start w:val="1"/>
      <w:numFmt w:val="bullet"/>
      <w:lvlText w:val=""/>
      <w:lvlJc w:val="left"/>
      <w:pPr>
        <w:ind w:left="7300" w:hanging="360"/>
      </w:pPr>
      <w:rPr>
        <w:rFonts w:ascii="Wingdings" w:hAnsi="Wingdings" w:hint="default"/>
      </w:rPr>
    </w:lvl>
  </w:abstractNum>
  <w:abstractNum w:abstractNumId="3">
    <w:nsid w:val="1FA3779A"/>
    <w:multiLevelType w:val="hybridMultilevel"/>
    <w:tmpl w:val="6248037C"/>
    <w:lvl w:ilvl="0" w:tplc="5C92E39C">
      <w:start w:val="1"/>
      <w:numFmt w:val="upperLetter"/>
      <w:lvlText w:val="%1)"/>
      <w:lvlJc w:val="left"/>
      <w:pPr>
        <w:ind w:left="72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1DB7C2C"/>
    <w:multiLevelType w:val="hybridMultilevel"/>
    <w:tmpl w:val="DE2CD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0097442"/>
    <w:multiLevelType w:val="hybridMultilevel"/>
    <w:tmpl w:val="60CE416E"/>
    <w:lvl w:ilvl="0" w:tplc="EF3C6392">
      <w:start w:val="1"/>
      <w:numFmt w:val="upperLetter"/>
      <w:lvlText w:val="(%1)"/>
      <w:lvlJc w:val="left"/>
      <w:pPr>
        <w:ind w:left="720" w:hanging="360"/>
      </w:pPr>
      <w:rPr>
        <w:rFonts w:hint="default"/>
        <w:sz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336C7B3D"/>
    <w:multiLevelType w:val="hybridMultilevel"/>
    <w:tmpl w:val="00C866E8"/>
    <w:lvl w:ilvl="0" w:tplc="080C0001">
      <w:start w:val="1"/>
      <w:numFmt w:val="bullet"/>
      <w:lvlText w:val=""/>
      <w:lvlJc w:val="left"/>
      <w:pPr>
        <w:ind w:left="778" w:hanging="360"/>
      </w:pPr>
      <w:rPr>
        <w:rFonts w:ascii="Symbol" w:hAnsi="Symbol" w:hint="default"/>
      </w:rPr>
    </w:lvl>
    <w:lvl w:ilvl="1" w:tplc="080C0003" w:tentative="1">
      <w:start w:val="1"/>
      <w:numFmt w:val="bullet"/>
      <w:lvlText w:val="o"/>
      <w:lvlJc w:val="left"/>
      <w:pPr>
        <w:ind w:left="1498" w:hanging="360"/>
      </w:pPr>
      <w:rPr>
        <w:rFonts w:ascii="Courier New" w:hAnsi="Courier New" w:cs="Courier New" w:hint="default"/>
      </w:rPr>
    </w:lvl>
    <w:lvl w:ilvl="2" w:tplc="080C0005" w:tentative="1">
      <w:start w:val="1"/>
      <w:numFmt w:val="bullet"/>
      <w:lvlText w:val=""/>
      <w:lvlJc w:val="left"/>
      <w:pPr>
        <w:ind w:left="2218" w:hanging="360"/>
      </w:pPr>
      <w:rPr>
        <w:rFonts w:ascii="Wingdings" w:hAnsi="Wingdings" w:hint="default"/>
      </w:rPr>
    </w:lvl>
    <w:lvl w:ilvl="3" w:tplc="080C0001" w:tentative="1">
      <w:start w:val="1"/>
      <w:numFmt w:val="bullet"/>
      <w:lvlText w:val=""/>
      <w:lvlJc w:val="left"/>
      <w:pPr>
        <w:ind w:left="2938" w:hanging="360"/>
      </w:pPr>
      <w:rPr>
        <w:rFonts w:ascii="Symbol" w:hAnsi="Symbol" w:hint="default"/>
      </w:rPr>
    </w:lvl>
    <w:lvl w:ilvl="4" w:tplc="080C0003" w:tentative="1">
      <w:start w:val="1"/>
      <w:numFmt w:val="bullet"/>
      <w:lvlText w:val="o"/>
      <w:lvlJc w:val="left"/>
      <w:pPr>
        <w:ind w:left="3658" w:hanging="360"/>
      </w:pPr>
      <w:rPr>
        <w:rFonts w:ascii="Courier New" w:hAnsi="Courier New" w:cs="Courier New" w:hint="default"/>
      </w:rPr>
    </w:lvl>
    <w:lvl w:ilvl="5" w:tplc="080C0005" w:tentative="1">
      <w:start w:val="1"/>
      <w:numFmt w:val="bullet"/>
      <w:lvlText w:val=""/>
      <w:lvlJc w:val="left"/>
      <w:pPr>
        <w:ind w:left="4378" w:hanging="360"/>
      </w:pPr>
      <w:rPr>
        <w:rFonts w:ascii="Wingdings" w:hAnsi="Wingdings" w:hint="default"/>
      </w:rPr>
    </w:lvl>
    <w:lvl w:ilvl="6" w:tplc="080C0001" w:tentative="1">
      <w:start w:val="1"/>
      <w:numFmt w:val="bullet"/>
      <w:lvlText w:val=""/>
      <w:lvlJc w:val="left"/>
      <w:pPr>
        <w:ind w:left="5098" w:hanging="360"/>
      </w:pPr>
      <w:rPr>
        <w:rFonts w:ascii="Symbol" w:hAnsi="Symbol" w:hint="default"/>
      </w:rPr>
    </w:lvl>
    <w:lvl w:ilvl="7" w:tplc="080C0003" w:tentative="1">
      <w:start w:val="1"/>
      <w:numFmt w:val="bullet"/>
      <w:lvlText w:val="o"/>
      <w:lvlJc w:val="left"/>
      <w:pPr>
        <w:ind w:left="5818" w:hanging="360"/>
      </w:pPr>
      <w:rPr>
        <w:rFonts w:ascii="Courier New" w:hAnsi="Courier New" w:cs="Courier New" w:hint="default"/>
      </w:rPr>
    </w:lvl>
    <w:lvl w:ilvl="8" w:tplc="080C0005" w:tentative="1">
      <w:start w:val="1"/>
      <w:numFmt w:val="bullet"/>
      <w:lvlText w:val=""/>
      <w:lvlJc w:val="left"/>
      <w:pPr>
        <w:ind w:left="6538" w:hanging="360"/>
      </w:pPr>
      <w:rPr>
        <w:rFonts w:ascii="Wingdings" w:hAnsi="Wingdings" w:hint="default"/>
      </w:rPr>
    </w:lvl>
  </w:abstractNum>
  <w:abstractNum w:abstractNumId="7">
    <w:nsid w:val="39621A6B"/>
    <w:multiLevelType w:val="hybridMultilevel"/>
    <w:tmpl w:val="609CD908"/>
    <w:lvl w:ilvl="0" w:tplc="080C0001">
      <w:start w:val="1"/>
      <w:numFmt w:val="bullet"/>
      <w:lvlText w:val=""/>
      <w:lvlJc w:val="left"/>
      <w:pPr>
        <w:ind w:left="767" w:hanging="360"/>
      </w:pPr>
      <w:rPr>
        <w:rFonts w:ascii="Symbol" w:hAnsi="Symbol" w:hint="default"/>
      </w:rPr>
    </w:lvl>
    <w:lvl w:ilvl="1" w:tplc="080C0003" w:tentative="1">
      <w:start w:val="1"/>
      <w:numFmt w:val="bullet"/>
      <w:lvlText w:val="o"/>
      <w:lvlJc w:val="left"/>
      <w:pPr>
        <w:ind w:left="1487" w:hanging="360"/>
      </w:pPr>
      <w:rPr>
        <w:rFonts w:ascii="Courier New" w:hAnsi="Courier New" w:cs="Courier New" w:hint="default"/>
      </w:rPr>
    </w:lvl>
    <w:lvl w:ilvl="2" w:tplc="080C0005" w:tentative="1">
      <w:start w:val="1"/>
      <w:numFmt w:val="bullet"/>
      <w:lvlText w:val=""/>
      <w:lvlJc w:val="left"/>
      <w:pPr>
        <w:ind w:left="2207" w:hanging="360"/>
      </w:pPr>
      <w:rPr>
        <w:rFonts w:ascii="Wingdings" w:hAnsi="Wingdings" w:hint="default"/>
      </w:rPr>
    </w:lvl>
    <w:lvl w:ilvl="3" w:tplc="080C0001" w:tentative="1">
      <w:start w:val="1"/>
      <w:numFmt w:val="bullet"/>
      <w:lvlText w:val=""/>
      <w:lvlJc w:val="left"/>
      <w:pPr>
        <w:ind w:left="2927" w:hanging="360"/>
      </w:pPr>
      <w:rPr>
        <w:rFonts w:ascii="Symbol" w:hAnsi="Symbol" w:hint="default"/>
      </w:rPr>
    </w:lvl>
    <w:lvl w:ilvl="4" w:tplc="080C0003" w:tentative="1">
      <w:start w:val="1"/>
      <w:numFmt w:val="bullet"/>
      <w:lvlText w:val="o"/>
      <w:lvlJc w:val="left"/>
      <w:pPr>
        <w:ind w:left="3647" w:hanging="360"/>
      </w:pPr>
      <w:rPr>
        <w:rFonts w:ascii="Courier New" w:hAnsi="Courier New" w:cs="Courier New" w:hint="default"/>
      </w:rPr>
    </w:lvl>
    <w:lvl w:ilvl="5" w:tplc="080C0005" w:tentative="1">
      <w:start w:val="1"/>
      <w:numFmt w:val="bullet"/>
      <w:lvlText w:val=""/>
      <w:lvlJc w:val="left"/>
      <w:pPr>
        <w:ind w:left="4367" w:hanging="360"/>
      </w:pPr>
      <w:rPr>
        <w:rFonts w:ascii="Wingdings" w:hAnsi="Wingdings" w:hint="default"/>
      </w:rPr>
    </w:lvl>
    <w:lvl w:ilvl="6" w:tplc="080C0001" w:tentative="1">
      <w:start w:val="1"/>
      <w:numFmt w:val="bullet"/>
      <w:lvlText w:val=""/>
      <w:lvlJc w:val="left"/>
      <w:pPr>
        <w:ind w:left="5087" w:hanging="360"/>
      </w:pPr>
      <w:rPr>
        <w:rFonts w:ascii="Symbol" w:hAnsi="Symbol" w:hint="default"/>
      </w:rPr>
    </w:lvl>
    <w:lvl w:ilvl="7" w:tplc="080C0003" w:tentative="1">
      <w:start w:val="1"/>
      <w:numFmt w:val="bullet"/>
      <w:lvlText w:val="o"/>
      <w:lvlJc w:val="left"/>
      <w:pPr>
        <w:ind w:left="5807" w:hanging="360"/>
      </w:pPr>
      <w:rPr>
        <w:rFonts w:ascii="Courier New" w:hAnsi="Courier New" w:cs="Courier New" w:hint="default"/>
      </w:rPr>
    </w:lvl>
    <w:lvl w:ilvl="8" w:tplc="080C0005" w:tentative="1">
      <w:start w:val="1"/>
      <w:numFmt w:val="bullet"/>
      <w:lvlText w:val=""/>
      <w:lvlJc w:val="left"/>
      <w:pPr>
        <w:ind w:left="6527" w:hanging="360"/>
      </w:pPr>
      <w:rPr>
        <w:rFonts w:ascii="Wingdings" w:hAnsi="Wingdings" w:hint="default"/>
      </w:rPr>
    </w:lvl>
  </w:abstractNum>
  <w:abstractNum w:abstractNumId="8">
    <w:nsid w:val="3C4A1674"/>
    <w:multiLevelType w:val="singleLevel"/>
    <w:tmpl w:val="040C0011"/>
    <w:lvl w:ilvl="0">
      <w:start w:val="1"/>
      <w:numFmt w:val="decimal"/>
      <w:lvlText w:val="%1)"/>
      <w:lvlJc w:val="left"/>
      <w:pPr>
        <w:tabs>
          <w:tab w:val="num" w:pos="360"/>
        </w:tabs>
        <w:ind w:left="360" w:hanging="360"/>
      </w:pPr>
      <w:rPr>
        <w:rFonts w:hint="default"/>
      </w:rPr>
    </w:lvl>
  </w:abstractNum>
  <w:abstractNum w:abstractNumId="9">
    <w:nsid w:val="502F6AA7"/>
    <w:multiLevelType w:val="hybridMultilevel"/>
    <w:tmpl w:val="1AF0E6B4"/>
    <w:lvl w:ilvl="0" w:tplc="FB6ADB5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52F37EA7"/>
    <w:multiLevelType w:val="hybridMultilevel"/>
    <w:tmpl w:val="FF6C8A56"/>
    <w:lvl w:ilvl="0" w:tplc="0F966778">
      <w:start w:val="1"/>
      <w:numFmt w:val="upperLetter"/>
      <w:lvlText w:val="%1)"/>
      <w:lvlJc w:val="left"/>
      <w:pPr>
        <w:ind w:left="720" w:hanging="360"/>
      </w:pPr>
      <w:rPr>
        <w:rFonts w:cs="Times New Roman"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56F12FE6"/>
    <w:multiLevelType w:val="hybridMultilevel"/>
    <w:tmpl w:val="BA2CBA64"/>
    <w:lvl w:ilvl="0" w:tplc="62E6A12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5E2D3619"/>
    <w:multiLevelType w:val="hybridMultilevel"/>
    <w:tmpl w:val="3FF86114"/>
    <w:lvl w:ilvl="0" w:tplc="C6F431D0">
      <w:numFmt w:val="bullet"/>
      <w:lvlText w:val="-"/>
      <w:lvlJc w:val="left"/>
      <w:pPr>
        <w:ind w:left="1920" w:hanging="360"/>
      </w:pPr>
      <w:rPr>
        <w:rFonts w:ascii="Arial" w:eastAsia="Times New Roman" w:hAnsi="Arial" w:cs="Arial" w:hint="default"/>
      </w:rPr>
    </w:lvl>
    <w:lvl w:ilvl="1" w:tplc="080C0003" w:tentative="1">
      <w:start w:val="1"/>
      <w:numFmt w:val="bullet"/>
      <w:lvlText w:val="o"/>
      <w:lvlJc w:val="left"/>
      <w:pPr>
        <w:ind w:left="2640" w:hanging="360"/>
      </w:pPr>
      <w:rPr>
        <w:rFonts w:ascii="Courier New" w:hAnsi="Courier New" w:cs="Courier New" w:hint="default"/>
      </w:rPr>
    </w:lvl>
    <w:lvl w:ilvl="2" w:tplc="080C0005" w:tentative="1">
      <w:start w:val="1"/>
      <w:numFmt w:val="bullet"/>
      <w:lvlText w:val=""/>
      <w:lvlJc w:val="left"/>
      <w:pPr>
        <w:ind w:left="3360" w:hanging="360"/>
      </w:pPr>
      <w:rPr>
        <w:rFonts w:ascii="Wingdings" w:hAnsi="Wingdings" w:hint="default"/>
      </w:rPr>
    </w:lvl>
    <w:lvl w:ilvl="3" w:tplc="080C0001" w:tentative="1">
      <w:start w:val="1"/>
      <w:numFmt w:val="bullet"/>
      <w:lvlText w:val=""/>
      <w:lvlJc w:val="left"/>
      <w:pPr>
        <w:ind w:left="4080" w:hanging="360"/>
      </w:pPr>
      <w:rPr>
        <w:rFonts w:ascii="Symbol" w:hAnsi="Symbol" w:hint="default"/>
      </w:rPr>
    </w:lvl>
    <w:lvl w:ilvl="4" w:tplc="080C0003" w:tentative="1">
      <w:start w:val="1"/>
      <w:numFmt w:val="bullet"/>
      <w:lvlText w:val="o"/>
      <w:lvlJc w:val="left"/>
      <w:pPr>
        <w:ind w:left="4800" w:hanging="360"/>
      </w:pPr>
      <w:rPr>
        <w:rFonts w:ascii="Courier New" w:hAnsi="Courier New" w:cs="Courier New" w:hint="default"/>
      </w:rPr>
    </w:lvl>
    <w:lvl w:ilvl="5" w:tplc="080C0005" w:tentative="1">
      <w:start w:val="1"/>
      <w:numFmt w:val="bullet"/>
      <w:lvlText w:val=""/>
      <w:lvlJc w:val="left"/>
      <w:pPr>
        <w:ind w:left="5520" w:hanging="360"/>
      </w:pPr>
      <w:rPr>
        <w:rFonts w:ascii="Wingdings" w:hAnsi="Wingdings" w:hint="default"/>
      </w:rPr>
    </w:lvl>
    <w:lvl w:ilvl="6" w:tplc="080C0001" w:tentative="1">
      <w:start w:val="1"/>
      <w:numFmt w:val="bullet"/>
      <w:lvlText w:val=""/>
      <w:lvlJc w:val="left"/>
      <w:pPr>
        <w:ind w:left="6240" w:hanging="360"/>
      </w:pPr>
      <w:rPr>
        <w:rFonts w:ascii="Symbol" w:hAnsi="Symbol" w:hint="default"/>
      </w:rPr>
    </w:lvl>
    <w:lvl w:ilvl="7" w:tplc="080C0003" w:tentative="1">
      <w:start w:val="1"/>
      <w:numFmt w:val="bullet"/>
      <w:lvlText w:val="o"/>
      <w:lvlJc w:val="left"/>
      <w:pPr>
        <w:ind w:left="6960" w:hanging="360"/>
      </w:pPr>
      <w:rPr>
        <w:rFonts w:ascii="Courier New" w:hAnsi="Courier New" w:cs="Courier New" w:hint="default"/>
      </w:rPr>
    </w:lvl>
    <w:lvl w:ilvl="8" w:tplc="080C0005" w:tentative="1">
      <w:start w:val="1"/>
      <w:numFmt w:val="bullet"/>
      <w:lvlText w:val=""/>
      <w:lvlJc w:val="left"/>
      <w:pPr>
        <w:ind w:left="7680" w:hanging="360"/>
      </w:pPr>
      <w:rPr>
        <w:rFonts w:ascii="Wingdings" w:hAnsi="Wingdings" w:hint="default"/>
      </w:rPr>
    </w:lvl>
  </w:abstractNum>
  <w:abstractNum w:abstractNumId="13">
    <w:nsid w:val="67405D8A"/>
    <w:multiLevelType w:val="hybridMultilevel"/>
    <w:tmpl w:val="58FC2D48"/>
    <w:lvl w:ilvl="0" w:tplc="D734793C">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6FDF7B35"/>
    <w:multiLevelType w:val="hybridMultilevel"/>
    <w:tmpl w:val="2A30CA4C"/>
    <w:lvl w:ilvl="0" w:tplc="034E43CA">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3"/>
  </w:num>
  <w:num w:numId="5">
    <w:abstractNumId w:val="5"/>
  </w:num>
  <w:num w:numId="6">
    <w:abstractNumId w:val="4"/>
  </w:num>
  <w:num w:numId="7">
    <w:abstractNumId w:val="2"/>
  </w:num>
  <w:num w:numId="8">
    <w:abstractNumId w:val="7"/>
  </w:num>
  <w:num w:numId="9">
    <w:abstractNumId w:val="12"/>
  </w:num>
  <w:num w:numId="10">
    <w:abstractNumId w:val="1"/>
  </w:num>
  <w:num w:numId="11">
    <w:abstractNumId w:val="10"/>
  </w:num>
  <w:num w:numId="12">
    <w:abstractNumId w:val="14"/>
  </w:num>
  <w:num w:numId="13">
    <w:abstractNumId w:val="9"/>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F11DF9"/>
    <w:rsid w:val="00003649"/>
    <w:rsid w:val="00005EDF"/>
    <w:rsid w:val="00057229"/>
    <w:rsid w:val="00092479"/>
    <w:rsid w:val="0009331E"/>
    <w:rsid w:val="000C1399"/>
    <w:rsid w:val="000C4176"/>
    <w:rsid w:val="000C5894"/>
    <w:rsid w:val="000E0225"/>
    <w:rsid w:val="000E500F"/>
    <w:rsid w:val="00110198"/>
    <w:rsid w:val="00132115"/>
    <w:rsid w:val="00132F05"/>
    <w:rsid w:val="001348F7"/>
    <w:rsid w:val="001349D7"/>
    <w:rsid w:val="001457C1"/>
    <w:rsid w:val="001655ED"/>
    <w:rsid w:val="00174486"/>
    <w:rsid w:val="001752DC"/>
    <w:rsid w:val="00181E3E"/>
    <w:rsid w:val="001A15EF"/>
    <w:rsid w:val="001A4255"/>
    <w:rsid w:val="001A5C90"/>
    <w:rsid w:val="001A5F93"/>
    <w:rsid w:val="001D69C5"/>
    <w:rsid w:val="001E2D79"/>
    <w:rsid w:val="001F22D1"/>
    <w:rsid w:val="00214BA6"/>
    <w:rsid w:val="0021705C"/>
    <w:rsid w:val="0023230D"/>
    <w:rsid w:val="0023789F"/>
    <w:rsid w:val="002946D7"/>
    <w:rsid w:val="002A41E9"/>
    <w:rsid w:val="002B2C0B"/>
    <w:rsid w:val="003044C8"/>
    <w:rsid w:val="00311562"/>
    <w:rsid w:val="003147FB"/>
    <w:rsid w:val="0033512F"/>
    <w:rsid w:val="0033584A"/>
    <w:rsid w:val="0034012B"/>
    <w:rsid w:val="00361EEA"/>
    <w:rsid w:val="00375FDF"/>
    <w:rsid w:val="00381260"/>
    <w:rsid w:val="00386B99"/>
    <w:rsid w:val="00394F8C"/>
    <w:rsid w:val="003C2034"/>
    <w:rsid w:val="003C2AE1"/>
    <w:rsid w:val="003D3172"/>
    <w:rsid w:val="003F2448"/>
    <w:rsid w:val="00440DEB"/>
    <w:rsid w:val="00451CC9"/>
    <w:rsid w:val="00484A73"/>
    <w:rsid w:val="0049442D"/>
    <w:rsid w:val="004A1F0C"/>
    <w:rsid w:val="004B3780"/>
    <w:rsid w:val="004D2B5F"/>
    <w:rsid w:val="004D384E"/>
    <w:rsid w:val="00502839"/>
    <w:rsid w:val="00526E34"/>
    <w:rsid w:val="005416CD"/>
    <w:rsid w:val="005B12D5"/>
    <w:rsid w:val="005B7207"/>
    <w:rsid w:val="005C5B76"/>
    <w:rsid w:val="00631E67"/>
    <w:rsid w:val="006368D8"/>
    <w:rsid w:val="0064056A"/>
    <w:rsid w:val="00643856"/>
    <w:rsid w:val="0065358E"/>
    <w:rsid w:val="00672082"/>
    <w:rsid w:val="00674DCA"/>
    <w:rsid w:val="006A5A9E"/>
    <w:rsid w:val="006B2CF2"/>
    <w:rsid w:val="006C205D"/>
    <w:rsid w:val="006C5406"/>
    <w:rsid w:val="006E34E4"/>
    <w:rsid w:val="006E4C1E"/>
    <w:rsid w:val="006F110E"/>
    <w:rsid w:val="006F3E55"/>
    <w:rsid w:val="00713EA6"/>
    <w:rsid w:val="007168EF"/>
    <w:rsid w:val="00724C4E"/>
    <w:rsid w:val="0074607E"/>
    <w:rsid w:val="00753F48"/>
    <w:rsid w:val="00775619"/>
    <w:rsid w:val="00782944"/>
    <w:rsid w:val="007A52ED"/>
    <w:rsid w:val="007D2800"/>
    <w:rsid w:val="00807489"/>
    <w:rsid w:val="00807597"/>
    <w:rsid w:val="008273F0"/>
    <w:rsid w:val="00844647"/>
    <w:rsid w:val="00846037"/>
    <w:rsid w:val="00857803"/>
    <w:rsid w:val="00857AD3"/>
    <w:rsid w:val="00861948"/>
    <w:rsid w:val="008748C7"/>
    <w:rsid w:val="00896898"/>
    <w:rsid w:val="008A6909"/>
    <w:rsid w:val="008B2B0D"/>
    <w:rsid w:val="008E5DE4"/>
    <w:rsid w:val="008F5331"/>
    <w:rsid w:val="00906192"/>
    <w:rsid w:val="009131D4"/>
    <w:rsid w:val="00914BE3"/>
    <w:rsid w:val="009153E3"/>
    <w:rsid w:val="00916963"/>
    <w:rsid w:val="00920924"/>
    <w:rsid w:val="0093268C"/>
    <w:rsid w:val="00950660"/>
    <w:rsid w:val="00951B88"/>
    <w:rsid w:val="00965C0C"/>
    <w:rsid w:val="00972A02"/>
    <w:rsid w:val="00976E25"/>
    <w:rsid w:val="009857DF"/>
    <w:rsid w:val="00990C04"/>
    <w:rsid w:val="0099349B"/>
    <w:rsid w:val="00995AFD"/>
    <w:rsid w:val="009A4755"/>
    <w:rsid w:val="009B3DA0"/>
    <w:rsid w:val="009C7281"/>
    <w:rsid w:val="009D7F05"/>
    <w:rsid w:val="009D7F5D"/>
    <w:rsid w:val="009E083C"/>
    <w:rsid w:val="009E20F3"/>
    <w:rsid w:val="009E3842"/>
    <w:rsid w:val="009F577A"/>
    <w:rsid w:val="009F7DAB"/>
    <w:rsid w:val="00A015D1"/>
    <w:rsid w:val="00A4216A"/>
    <w:rsid w:val="00A7058C"/>
    <w:rsid w:val="00A73B4A"/>
    <w:rsid w:val="00A86068"/>
    <w:rsid w:val="00A90BE1"/>
    <w:rsid w:val="00A952A8"/>
    <w:rsid w:val="00AC1755"/>
    <w:rsid w:val="00AC418B"/>
    <w:rsid w:val="00AC78FA"/>
    <w:rsid w:val="00AE2AC5"/>
    <w:rsid w:val="00B03D77"/>
    <w:rsid w:val="00B04E1A"/>
    <w:rsid w:val="00B310BB"/>
    <w:rsid w:val="00B35CBA"/>
    <w:rsid w:val="00B61515"/>
    <w:rsid w:val="00B90117"/>
    <w:rsid w:val="00BA16B6"/>
    <w:rsid w:val="00BC331E"/>
    <w:rsid w:val="00BD568B"/>
    <w:rsid w:val="00BE6AA0"/>
    <w:rsid w:val="00BF181F"/>
    <w:rsid w:val="00C20E31"/>
    <w:rsid w:val="00C65FBE"/>
    <w:rsid w:val="00C706B1"/>
    <w:rsid w:val="00C71E42"/>
    <w:rsid w:val="00C74474"/>
    <w:rsid w:val="00C77BC7"/>
    <w:rsid w:val="00C943F2"/>
    <w:rsid w:val="00CA4709"/>
    <w:rsid w:val="00CF672E"/>
    <w:rsid w:val="00D004E6"/>
    <w:rsid w:val="00D44874"/>
    <w:rsid w:val="00D4528A"/>
    <w:rsid w:val="00D65CDB"/>
    <w:rsid w:val="00D92C7B"/>
    <w:rsid w:val="00DB2E26"/>
    <w:rsid w:val="00DC0675"/>
    <w:rsid w:val="00DF6138"/>
    <w:rsid w:val="00E21CCC"/>
    <w:rsid w:val="00E2272F"/>
    <w:rsid w:val="00E32EE4"/>
    <w:rsid w:val="00E36E42"/>
    <w:rsid w:val="00E54DED"/>
    <w:rsid w:val="00E701D4"/>
    <w:rsid w:val="00EB356C"/>
    <w:rsid w:val="00F07A92"/>
    <w:rsid w:val="00F11DF9"/>
    <w:rsid w:val="00F22033"/>
    <w:rsid w:val="00F3198A"/>
    <w:rsid w:val="00F40C2E"/>
    <w:rsid w:val="00F736EC"/>
    <w:rsid w:val="00F8102C"/>
    <w:rsid w:val="00F858D5"/>
    <w:rsid w:val="00F938E6"/>
    <w:rsid w:val="00FA0391"/>
    <w:rsid w:val="00FC0BC2"/>
    <w:rsid w:val="00FC763F"/>
    <w:rsid w:val="00FF691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b/>
      <w:sz w:val="24"/>
      <w:lang w:val="fr-BE"/>
    </w:rPr>
  </w:style>
  <w:style w:type="paragraph" w:styleId="En-tte">
    <w:name w:val="header"/>
    <w:basedOn w:val="Normal"/>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link w:val="TextedebullesCar"/>
    <w:uiPriority w:val="99"/>
    <w:semiHidden/>
    <w:unhideWhenUsed/>
    <w:rsid w:val="00F11DF9"/>
    <w:rPr>
      <w:rFonts w:ascii="Tahoma" w:hAnsi="Tahoma" w:cs="Tahoma"/>
      <w:sz w:val="16"/>
      <w:szCs w:val="16"/>
    </w:rPr>
  </w:style>
  <w:style w:type="character" w:customStyle="1" w:styleId="TextedebullesCar">
    <w:name w:val="Texte de bulles Car"/>
    <w:basedOn w:val="Policepardfaut"/>
    <w:link w:val="Textedebulles"/>
    <w:uiPriority w:val="99"/>
    <w:semiHidden/>
    <w:rsid w:val="00F11DF9"/>
    <w:rPr>
      <w:rFonts w:ascii="Tahoma" w:hAnsi="Tahoma" w:cs="Tahoma"/>
      <w:sz w:val="16"/>
      <w:szCs w:val="16"/>
      <w:lang w:val="fr-FR"/>
    </w:rPr>
  </w:style>
  <w:style w:type="table" w:styleId="Grilledutableau">
    <w:name w:val="Table Grid"/>
    <w:basedOn w:val="TableauNormal"/>
    <w:uiPriority w:val="59"/>
    <w:rsid w:val="0074607E"/>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ansinterligne">
    <w:name w:val="No Spacing"/>
    <w:uiPriority w:val="1"/>
    <w:qFormat/>
    <w:rsid w:val="0074607E"/>
    <w:rPr>
      <w:rFonts w:ascii="Calibri" w:eastAsia="Calibri" w:hAnsi="Calibri"/>
      <w:sz w:val="22"/>
      <w:szCs w:val="22"/>
      <w:lang w:eastAsia="en-US"/>
    </w:rPr>
  </w:style>
  <w:style w:type="character" w:styleId="Lienhypertexte">
    <w:name w:val="Hyperlink"/>
    <w:basedOn w:val="Policepardfaut"/>
    <w:uiPriority w:val="99"/>
    <w:unhideWhenUsed/>
    <w:rsid w:val="009B3DA0"/>
    <w:rPr>
      <w:color w:val="0000FF"/>
      <w:u w:val="single"/>
    </w:rPr>
  </w:style>
  <w:style w:type="paragraph" w:styleId="Paragraphedeliste">
    <w:name w:val="List Paragraph"/>
    <w:basedOn w:val="Normal"/>
    <w:uiPriority w:val="34"/>
    <w:qFormat/>
    <w:rsid w:val="009B3DA0"/>
    <w:pPr>
      <w:spacing w:after="200" w:line="276" w:lineRule="auto"/>
      <w:ind w:left="720"/>
      <w:contextualSpacing/>
    </w:pPr>
    <w:rPr>
      <w:rFonts w:ascii="Calibri" w:eastAsia="Calibri" w:hAnsi="Calibri"/>
      <w:sz w:val="22"/>
      <w:szCs w:val="22"/>
      <w:lang w:val="fr-BE" w:eastAsia="en-US"/>
    </w:rPr>
  </w:style>
  <w:style w:type="paragraph" w:styleId="Notedebasdepage">
    <w:name w:val="footnote text"/>
    <w:basedOn w:val="Normal"/>
    <w:link w:val="NotedebasdepageCar"/>
    <w:uiPriority w:val="99"/>
    <w:semiHidden/>
    <w:unhideWhenUsed/>
    <w:rsid w:val="002B2C0B"/>
  </w:style>
  <w:style w:type="character" w:customStyle="1" w:styleId="NotedebasdepageCar">
    <w:name w:val="Note de bas de page Car"/>
    <w:basedOn w:val="Policepardfaut"/>
    <w:link w:val="Notedebasdepage"/>
    <w:uiPriority w:val="99"/>
    <w:semiHidden/>
    <w:rsid w:val="002B2C0B"/>
    <w:rPr>
      <w:lang w:val="fr-FR"/>
    </w:rPr>
  </w:style>
  <w:style w:type="character" w:styleId="Appelnotedebasdep">
    <w:name w:val="footnote reference"/>
    <w:basedOn w:val="Policepardfaut"/>
    <w:uiPriority w:val="99"/>
    <w:semiHidden/>
    <w:unhideWhenUsed/>
    <w:rsid w:val="002B2C0B"/>
    <w:rPr>
      <w:vertAlign w:val="superscript"/>
    </w:rPr>
  </w:style>
  <w:style w:type="paragraph" w:styleId="Retraitcorpsdetexte3">
    <w:name w:val="Body Text Indent 3"/>
    <w:basedOn w:val="Normal"/>
    <w:link w:val="Retraitcorpsdetexte3Car"/>
    <w:uiPriority w:val="99"/>
    <w:semiHidden/>
    <w:unhideWhenUsed/>
    <w:rsid w:val="00BA16B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BA16B6"/>
    <w:rPr>
      <w:sz w:val="16"/>
      <w:szCs w:val="16"/>
      <w:lang w:val="fr-FR"/>
    </w:rPr>
  </w:style>
  <w:style w:type="character" w:styleId="Marquedecommentaire">
    <w:name w:val="annotation reference"/>
    <w:basedOn w:val="Policepardfaut"/>
    <w:uiPriority w:val="99"/>
    <w:semiHidden/>
    <w:unhideWhenUsed/>
    <w:rsid w:val="005B12D5"/>
    <w:rPr>
      <w:sz w:val="16"/>
      <w:szCs w:val="16"/>
    </w:rPr>
  </w:style>
  <w:style w:type="paragraph" w:styleId="Commentaire">
    <w:name w:val="annotation text"/>
    <w:basedOn w:val="Normal"/>
    <w:link w:val="CommentaireCar"/>
    <w:uiPriority w:val="99"/>
    <w:semiHidden/>
    <w:unhideWhenUsed/>
    <w:rsid w:val="005B12D5"/>
  </w:style>
  <w:style w:type="character" w:customStyle="1" w:styleId="CommentaireCar">
    <w:name w:val="Commentaire Car"/>
    <w:basedOn w:val="Policepardfaut"/>
    <w:link w:val="Commentaire"/>
    <w:uiPriority w:val="99"/>
    <w:semiHidden/>
    <w:rsid w:val="005B12D5"/>
    <w:rPr>
      <w:lang w:val="fr-FR"/>
    </w:rPr>
  </w:style>
  <w:style w:type="paragraph" w:styleId="Objetducommentaire">
    <w:name w:val="annotation subject"/>
    <w:basedOn w:val="Commentaire"/>
    <w:next w:val="Commentaire"/>
    <w:link w:val="ObjetducommentaireCar"/>
    <w:uiPriority w:val="99"/>
    <w:semiHidden/>
    <w:unhideWhenUsed/>
    <w:rsid w:val="005B12D5"/>
    <w:rPr>
      <w:b/>
      <w:bCs/>
    </w:rPr>
  </w:style>
  <w:style w:type="character" w:customStyle="1" w:styleId="ObjetducommentaireCar">
    <w:name w:val="Objet du commentaire Car"/>
    <w:basedOn w:val="CommentaireCar"/>
    <w:link w:val="Objetducommentaire"/>
    <w:uiPriority w:val="99"/>
    <w:semiHidden/>
    <w:rsid w:val="005B12D5"/>
    <w:rPr>
      <w:b/>
      <w:bCs/>
    </w:rPr>
  </w:style>
  <w:style w:type="character" w:customStyle="1" w:styleId="PieddepageCar">
    <w:name w:val="Pied de page Car"/>
    <w:basedOn w:val="Policepardfaut"/>
    <w:link w:val="Pieddepage"/>
    <w:uiPriority w:val="99"/>
    <w:rsid w:val="00B03D77"/>
    <w:rPr>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pport.simppa@spw.wallonie.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9FEDF-C3B9-4950-881F-8FB6C958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2450</Words>
  <Characters>13477</Characters>
  <Application>Microsoft Office Word</Application>
  <DocSecurity>4</DocSecurity>
  <Lines>112</Lines>
  <Paragraphs>31</Paragraphs>
  <ScaleCrop>false</ScaleCrop>
  <HeadingPairs>
    <vt:vector size="2" baseType="variant">
      <vt:variant>
        <vt:lpstr>Titre</vt:lpstr>
      </vt:variant>
      <vt:variant>
        <vt:i4>1</vt:i4>
      </vt:variant>
    </vt:vector>
  </HeadingPairs>
  <TitlesOfParts>
    <vt:vector size="1" baseType="lpstr">
      <vt:lpstr>Proposition de modèle de conditions générales de facture pour les marchés publics de travaux constatés par simple facture acceptée</vt:lpstr>
    </vt:vector>
  </TitlesOfParts>
  <Company>CNC-OPOC</Company>
  <LinksUpToDate>false</LinksUpToDate>
  <CharactersWithSpaces>15896</CharactersWithSpaces>
  <SharedDoc>false</SharedDoc>
  <HLinks>
    <vt:vector size="6" baseType="variant">
      <vt:variant>
        <vt:i4>7209052</vt:i4>
      </vt:variant>
      <vt:variant>
        <vt:i4>0</vt:i4>
      </vt:variant>
      <vt:variant>
        <vt:i4>0</vt:i4>
      </vt:variant>
      <vt:variant>
        <vt:i4>5</vt:i4>
      </vt:variant>
      <vt:variant>
        <vt:lpwstr>mailto:support.simppa@spw.wallonie.be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modèle de conditions générales de facture pour les marchés publics de travaux constatés par simple facture acceptée</dc:title>
  <dc:creator>Maria Baccala</dc:creator>
  <cp:lastModifiedBy>49581</cp:lastModifiedBy>
  <cp:revision>2</cp:revision>
  <cp:lastPrinted>2002-11-26T10:22:00Z</cp:lastPrinted>
  <dcterms:created xsi:type="dcterms:W3CDTF">2019-02-11T08:01:00Z</dcterms:created>
  <dcterms:modified xsi:type="dcterms:W3CDTF">2019-02-11T08:01:00Z</dcterms:modified>
</cp:coreProperties>
</file>