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47"/>
        <w:gridCol w:w="6625"/>
      </w:tblGrid>
      <w:tr w:rsidR="00423579" w:rsidRPr="00D346CB" w:rsidTr="00882954">
        <w:trPr>
          <w:trHeight w:val="1438"/>
        </w:trPr>
        <w:tc>
          <w:tcPr>
            <w:tcW w:w="3947" w:type="dxa"/>
            <w:vMerge w:val="restart"/>
          </w:tcPr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46CB">
              <w:rPr>
                <w:rFonts w:asciiTheme="majorHAnsi" w:hAnsiTheme="majorHAnsi" w:cs="Arial"/>
                <w:b/>
                <w:sz w:val="18"/>
                <w:szCs w:val="18"/>
              </w:rPr>
              <w:t>Nom du département</w:t>
            </w:r>
          </w:p>
          <w:p w:rsidR="00423579" w:rsidRPr="00D346CB" w:rsidRDefault="00423579" w:rsidP="00882954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b/>
                <w:color w:val="740A24"/>
                <w:sz w:val="18"/>
                <w:szCs w:val="18"/>
              </w:rPr>
            </w:pPr>
            <w:r w:rsidRPr="00D346CB">
              <w:rPr>
                <w:rFonts w:asciiTheme="majorHAnsi" w:hAnsiTheme="majorHAnsi" w:cs="Arial"/>
                <w:b/>
                <w:color w:val="740A24"/>
                <w:sz w:val="18"/>
                <w:szCs w:val="18"/>
              </w:rPr>
              <w:t>Nom de la direction</w:t>
            </w:r>
          </w:p>
          <w:p w:rsidR="00423579" w:rsidRPr="00D346CB" w:rsidRDefault="00423579" w:rsidP="00882954">
            <w:pPr>
              <w:ind w:left="885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D346CB">
              <w:rPr>
                <w:rFonts w:asciiTheme="majorHAnsi" w:hAnsiTheme="majorHAnsi" w:cs="Arial"/>
                <w:sz w:val="16"/>
                <w:szCs w:val="16"/>
              </w:rPr>
              <w:t>Nom de la rue N</w:t>
            </w:r>
            <w:r w:rsidRPr="00D346CB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o</w:t>
            </w:r>
            <w:r w:rsidRPr="00D346CB">
              <w:rPr>
                <w:rFonts w:asciiTheme="majorHAnsi" w:hAnsiTheme="majorHAnsi" w:cs="Arial"/>
                <w:sz w:val="16"/>
                <w:szCs w:val="16"/>
              </w:rPr>
              <w:t>,</w:t>
            </w:r>
          </w:p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D346CB">
              <w:rPr>
                <w:rFonts w:asciiTheme="majorHAnsi" w:hAnsiTheme="majorHAnsi" w:cs="Arial"/>
                <w:sz w:val="16"/>
                <w:szCs w:val="16"/>
              </w:rPr>
              <w:t>B-0000 COMMUNE</w:t>
            </w:r>
          </w:p>
          <w:p w:rsidR="00423579" w:rsidRPr="00D346CB" w:rsidRDefault="00423579" w:rsidP="00882954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</w:p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D346CB">
              <w:rPr>
                <w:rFonts w:asciiTheme="majorHAnsi" w:hAnsiTheme="majorHAnsi" w:cs="Arial"/>
                <w:sz w:val="16"/>
                <w:szCs w:val="16"/>
              </w:rPr>
              <w:t xml:space="preserve">Tél. : +32 (0)00 00 </w:t>
            </w:r>
            <w:proofErr w:type="spellStart"/>
            <w:r w:rsidRPr="00D346CB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  <w:r w:rsidRPr="00D346C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D346CB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</w:p>
          <w:p w:rsidR="00423579" w:rsidRPr="00D346CB" w:rsidRDefault="00784289" w:rsidP="00882954">
            <w:pPr>
              <w:ind w:left="885"/>
              <w:rPr>
                <w:rFonts w:asciiTheme="majorHAnsi" w:hAnsiTheme="majorHAnsi" w:cs="Arial"/>
                <w:sz w:val="16"/>
                <w:szCs w:val="16"/>
              </w:rPr>
            </w:pPr>
            <w:r w:rsidRPr="00D346CB">
              <w:rPr>
                <w:rFonts w:asciiTheme="majorHAnsi" w:hAnsiTheme="majorHAnsi" w:cs="Arial"/>
                <w:sz w:val="16"/>
                <w:szCs w:val="16"/>
              </w:rPr>
              <w:t xml:space="preserve">Fax : +32 (0)00 00 </w:t>
            </w:r>
            <w:proofErr w:type="spellStart"/>
            <w:r w:rsidRPr="00D346CB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  <w:r w:rsidRPr="00D346CB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proofErr w:type="spellStart"/>
            <w:r w:rsidRPr="00D346CB">
              <w:rPr>
                <w:rFonts w:asciiTheme="majorHAnsi" w:hAnsiTheme="majorHAnsi" w:cs="Arial"/>
                <w:sz w:val="16"/>
                <w:szCs w:val="16"/>
              </w:rPr>
              <w:t>00</w:t>
            </w:r>
            <w:proofErr w:type="spellEnd"/>
          </w:p>
          <w:p w:rsidR="00423579" w:rsidRPr="00D346CB" w:rsidRDefault="00784289" w:rsidP="00882954">
            <w:pPr>
              <w:ind w:left="885"/>
              <w:rPr>
                <w:rFonts w:asciiTheme="majorHAnsi" w:hAnsiTheme="majorHAnsi"/>
                <w:noProof/>
                <w:lang w:val="fr-BE" w:eastAsia="fr-BE"/>
              </w:rPr>
            </w:pPr>
            <w:r w:rsidRPr="00D346CB">
              <w:rPr>
                <w:rFonts w:asciiTheme="majorHAnsi" w:hAnsiTheme="majorHAnsi" w:cs="Arial"/>
                <w:sz w:val="16"/>
                <w:szCs w:val="16"/>
              </w:rPr>
              <w:t>generique@spw.wallonie.be</w:t>
            </w:r>
          </w:p>
        </w:tc>
        <w:tc>
          <w:tcPr>
            <w:tcW w:w="6625" w:type="dxa"/>
          </w:tcPr>
          <w:p w:rsidR="00D815D3" w:rsidRPr="00D346CB" w:rsidRDefault="00784289" w:rsidP="00882954">
            <w:pPr>
              <w:ind w:left="15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346CB">
              <w:rPr>
                <w:rFonts w:asciiTheme="majorHAnsi" w:hAnsiTheme="majorHAnsi" w:cs="Arial"/>
                <w:b/>
                <w:sz w:val="20"/>
                <w:szCs w:val="20"/>
              </w:rPr>
              <w:t>Adresse du destinataire</w:t>
            </w:r>
          </w:p>
          <w:p w:rsidR="00465005" w:rsidRPr="00D346CB" w:rsidRDefault="00465005" w:rsidP="00882954">
            <w:pPr>
              <w:ind w:left="1593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423579" w:rsidRPr="00D346CB" w:rsidTr="00882954">
        <w:trPr>
          <w:trHeight w:val="1674"/>
        </w:trPr>
        <w:tc>
          <w:tcPr>
            <w:tcW w:w="3947" w:type="dxa"/>
            <w:vMerge/>
          </w:tcPr>
          <w:p w:rsidR="00423579" w:rsidRPr="00D346CB" w:rsidRDefault="00423579" w:rsidP="00882954">
            <w:pPr>
              <w:ind w:left="88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6625" w:type="dxa"/>
          </w:tcPr>
          <w:p w:rsidR="00D815D3" w:rsidRPr="00D346CB" w:rsidRDefault="00D815D3" w:rsidP="00D346CB">
            <w:pPr>
              <w:ind w:right="717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Vos réf. : </w:t>
            </w:r>
          </w:p>
          <w:p w:rsidR="00D815D3" w:rsidRPr="00D346CB" w:rsidRDefault="00D815D3" w:rsidP="00D346CB">
            <w:pPr>
              <w:tabs>
                <w:tab w:val="left" w:pos="4253"/>
              </w:tabs>
              <w:ind w:right="717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Nos réf. : </w:t>
            </w:r>
            <w:r w:rsidRPr="00D346CB">
              <w:rPr>
                <w:rFonts w:asciiTheme="majorHAnsi" w:eastAsia="MS Mincho" w:hAnsiTheme="majorHAnsi" w:cs="Arial"/>
                <w:noProof/>
                <w:sz w:val="16"/>
                <w:szCs w:val="16"/>
                <w:lang w:eastAsia="en-US"/>
              </w:rPr>
              <w:t>SG/Département/Direction/Initiales de l’agent traitant/…</w:t>
            </w:r>
          </w:p>
          <w:p w:rsidR="00D815D3" w:rsidRPr="00D346CB" w:rsidRDefault="00D815D3" w:rsidP="00D346CB">
            <w:pPr>
              <w:ind w:right="717"/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</w:pPr>
            <w:r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Annexes(s) :</w:t>
            </w:r>
            <w:r w:rsidR="002A65DE"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 1/</w:t>
            </w:r>
            <w:r w:rsidR="00314CE8"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2A65DE"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voies de recours</w:t>
            </w:r>
            <w:r w:rsidR="00314CE8"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 xml:space="preserve"> </w:t>
            </w:r>
            <w:r w:rsidR="00314CE8" w:rsidRPr="00D346CB">
              <w:rPr>
                <w:rFonts w:asciiTheme="majorHAnsi" w:hAnsiTheme="majorHAnsi" w:cs="Arial"/>
                <w:noProof/>
                <w:sz w:val="16"/>
                <w:szCs w:val="16"/>
                <w:highlight w:val="yellow"/>
                <w:lang w:eastAsia="en-US"/>
              </w:rPr>
              <w:t>[le cas échéant</w:t>
            </w:r>
            <w:r w:rsidR="00584FBA" w:rsidRPr="00D346CB">
              <w:rPr>
                <w:rFonts w:asciiTheme="majorHAnsi" w:hAnsiTheme="majorHAnsi" w:cs="Arial"/>
                <w:noProof/>
                <w:sz w:val="16"/>
                <w:szCs w:val="16"/>
                <w:highlight w:val="yellow"/>
                <w:lang w:eastAsia="en-US"/>
              </w:rPr>
              <w:t>, indiquer</w:t>
            </w:r>
            <w:r w:rsidR="00314CE8" w:rsidRPr="00D346CB">
              <w:rPr>
                <w:rFonts w:asciiTheme="majorHAnsi" w:hAnsiTheme="majorHAnsi" w:cs="Arial"/>
                <w:noProof/>
                <w:sz w:val="16"/>
                <w:szCs w:val="16"/>
                <w:highlight w:val="yellow"/>
                <w:lang w:eastAsia="en-US"/>
              </w:rPr>
              <w:t> : et 2/ décision motivée d’attribution]</w:t>
            </w:r>
          </w:p>
          <w:p w:rsidR="00D815D3" w:rsidRPr="00D346CB" w:rsidRDefault="00D815D3" w:rsidP="00D346CB">
            <w:pPr>
              <w:ind w:right="717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D815D3" w:rsidRPr="00D346CB" w:rsidRDefault="00D815D3" w:rsidP="00D346CB">
            <w:pPr>
              <w:ind w:right="717"/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</w:pPr>
            <w:r w:rsidRPr="00D346CB">
              <w:rPr>
                <w:rFonts w:asciiTheme="majorHAnsi" w:hAnsiTheme="majorHAnsi" w:cs="Arial"/>
                <w:b/>
                <w:noProof/>
                <w:sz w:val="16"/>
                <w:szCs w:val="16"/>
                <w:lang w:eastAsia="en-US"/>
              </w:rPr>
              <w:t xml:space="preserve">Votre contact : </w:t>
            </w:r>
            <w:r w:rsidRPr="00D346CB">
              <w:rPr>
                <w:rFonts w:asciiTheme="majorHAnsi" w:hAnsiTheme="majorHAnsi" w:cs="Arial"/>
                <w:noProof/>
                <w:sz w:val="16"/>
                <w:szCs w:val="16"/>
                <w:lang w:eastAsia="en-US"/>
              </w:rPr>
              <w:t>Prénom NOM – 000 00 00 00 – prenom.nom@spw.wallonie.be</w:t>
            </w:r>
          </w:p>
          <w:p w:rsidR="00423579" w:rsidRPr="00D346CB" w:rsidRDefault="00423579" w:rsidP="00D346CB">
            <w:pPr>
              <w:ind w:right="717"/>
              <w:rPr>
                <w:rFonts w:asciiTheme="majorHAnsi" w:hAnsiTheme="majorHAnsi" w:cs="Arial"/>
                <w:b/>
                <w:noProof/>
                <w:sz w:val="14"/>
                <w:szCs w:val="14"/>
                <w:lang w:eastAsia="en-US"/>
              </w:rPr>
            </w:pPr>
          </w:p>
          <w:p w:rsidR="003823AA" w:rsidRPr="00D346CB" w:rsidRDefault="003823AA" w:rsidP="00D346CB">
            <w:pPr>
              <w:pStyle w:val="Sansinterligne"/>
              <w:tabs>
                <w:tab w:val="left" w:pos="1276"/>
              </w:tabs>
              <w:ind w:right="717"/>
              <w:jc w:val="both"/>
              <w:rPr>
                <w:rFonts w:asciiTheme="majorHAnsi" w:hAnsiTheme="majorHAnsi" w:cs="Arial"/>
                <w:b/>
                <w:highlight w:val="yellow"/>
              </w:rPr>
            </w:pPr>
            <w:r w:rsidRPr="00D346CB">
              <w:rPr>
                <w:rFonts w:asciiTheme="majorHAnsi" w:hAnsiTheme="majorHAnsi" w:cs="Arial"/>
                <w:b/>
                <w:noProof/>
              </w:rPr>
              <w:t>Objet :</w:t>
            </w:r>
            <w:r w:rsidRPr="00D346CB">
              <w:rPr>
                <w:rFonts w:asciiTheme="majorHAnsi" w:hAnsiTheme="majorHAnsi" w:cs="Arial"/>
                <w:b/>
                <w:noProof/>
              </w:rPr>
              <w:tab/>
            </w:r>
            <w:r w:rsidR="00E03F20" w:rsidRPr="00D346CB">
              <w:rPr>
                <w:rFonts w:asciiTheme="majorHAnsi" w:hAnsiTheme="majorHAnsi" w:cs="Arial"/>
                <w:b/>
              </w:rPr>
              <w:t xml:space="preserve">Marché de services juridiques relatif à </w:t>
            </w:r>
            <w:r w:rsidR="00E03F20" w:rsidRPr="00D346CB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  <w:r w:rsidR="00E03F20" w:rsidRPr="00D346CB">
              <w:rPr>
                <w:rFonts w:asciiTheme="majorHAnsi" w:hAnsiTheme="majorHAnsi" w:cs="Arial"/>
                <w:b/>
              </w:rPr>
              <w:t xml:space="preserve"> </w:t>
            </w:r>
            <w:r w:rsidR="00D346CB" w:rsidRPr="00D346CB">
              <w:rPr>
                <w:rFonts w:asciiTheme="majorHAnsi" w:hAnsiTheme="majorHAnsi" w:cs="Arial"/>
                <w:b/>
              </w:rPr>
              <w:t xml:space="preserve">- </w:t>
            </w:r>
            <w:r w:rsidR="00E03F20" w:rsidRPr="00D346CB">
              <w:rPr>
                <w:rFonts w:asciiTheme="majorHAnsi" w:hAnsiTheme="majorHAnsi" w:cs="Arial"/>
                <w:b/>
              </w:rPr>
              <w:t xml:space="preserve">n° CSC </w:t>
            </w:r>
            <w:r w:rsidR="00E03F20" w:rsidRPr="00D346CB">
              <w:rPr>
                <w:rFonts w:asciiTheme="majorHAnsi" w:hAnsiTheme="majorHAnsi" w:cs="Arial"/>
                <w:b/>
                <w:highlight w:val="yellow"/>
              </w:rPr>
              <w:t>[à compléter]</w:t>
            </w:r>
          </w:p>
          <w:p w:rsidR="00E03F20" w:rsidRPr="00D346CB" w:rsidRDefault="00E03F20" w:rsidP="00882954">
            <w:pPr>
              <w:rPr>
                <w:rFonts w:asciiTheme="majorHAnsi" w:hAnsiTheme="majorHAnsi" w:cs="Arial"/>
                <w:b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423579" w:rsidRPr="00D346CB" w:rsidRDefault="00423579" w:rsidP="0088295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2053" w:tblpY="-58"/>
        <w:tblOverlap w:val="never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8"/>
      </w:tblGrid>
      <w:tr w:rsidR="00882954" w:rsidRPr="00D346CB" w:rsidTr="00882954">
        <w:trPr>
          <w:trHeight w:val="663"/>
        </w:trPr>
        <w:tc>
          <w:tcPr>
            <w:tcW w:w="8528" w:type="dxa"/>
            <w:shd w:val="clear" w:color="auto" w:fill="BFBFBF"/>
            <w:vAlign w:val="center"/>
          </w:tcPr>
          <w:p w:rsidR="00882954" w:rsidRPr="00D346CB" w:rsidRDefault="00882954" w:rsidP="00882954">
            <w:pPr>
              <w:pStyle w:val="Sansinterligne"/>
              <w:tabs>
                <w:tab w:val="left" w:pos="1276"/>
              </w:tabs>
              <w:jc w:val="center"/>
              <w:rPr>
                <w:rFonts w:asciiTheme="majorHAnsi" w:hAnsiTheme="majorHAnsi" w:cs="Arial"/>
                <w:b/>
              </w:rPr>
            </w:pPr>
            <w:r w:rsidRPr="00D346CB">
              <w:rPr>
                <w:rFonts w:asciiTheme="majorHAnsi" w:hAnsiTheme="majorHAnsi" w:cs="Arial"/>
                <w:b/>
              </w:rPr>
              <w:t>Envoi pa</w:t>
            </w:r>
            <w:r w:rsidR="002A65DE" w:rsidRPr="00D346CB">
              <w:rPr>
                <w:rFonts w:asciiTheme="majorHAnsi" w:hAnsiTheme="majorHAnsi" w:cs="Arial"/>
                <w:b/>
              </w:rPr>
              <w:t>r courrier recommandé + courrier électronique</w:t>
            </w:r>
          </w:p>
        </w:tc>
      </w:tr>
    </w:tbl>
    <w:p w:rsidR="00882954" w:rsidRPr="00D346CB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  <w:r w:rsidRPr="00D346CB">
        <w:rPr>
          <w:rFonts w:asciiTheme="majorHAnsi" w:hAnsiTheme="majorHAnsi" w:cs="Arial"/>
        </w:rPr>
        <w:tab/>
      </w:r>
    </w:p>
    <w:p w:rsidR="00882954" w:rsidRPr="00D346CB" w:rsidRDefault="00882954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882954" w:rsidRPr="00D346CB" w:rsidRDefault="00882954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882954" w:rsidRPr="00D346CB" w:rsidRDefault="00882954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p w:rsidR="00E03F20" w:rsidRPr="00D346CB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  <w:r w:rsidRPr="00D346CB">
        <w:rPr>
          <w:rFonts w:asciiTheme="majorHAnsi" w:hAnsiTheme="majorHAnsi" w:cs="Arial"/>
        </w:rPr>
        <w:t>Maître,</w:t>
      </w:r>
    </w:p>
    <w:p w:rsidR="00E03F20" w:rsidRPr="00D346CB" w:rsidRDefault="00E03F20" w:rsidP="00E03F20">
      <w:pPr>
        <w:pStyle w:val="Sansinterligne"/>
        <w:tabs>
          <w:tab w:val="left" w:pos="1276"/>
        </w:tabs>
        <w:ind w:left="1276"/>
        <w:jc w:val="both"/>
        <w:rPr>
          <w:rFonts w:asciiTheme="majorHAnsi" w:hAnsiTheme="majorHAnsi" w:cs="Arial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9292"/>
      </w:tblGrid>
      <w:tr w:rsidR="00D346CB" w:rsidRPr="00D346CB" w:rsidTr="00D346CB">
        <w:tc>
          <w:tcPr>
            <w:tcW w:w="9292" w:type="dxa"/>
          </w:tcPr>
          <w:p w:rsidR="00A32371" w:rsidRPr="00A32371" w:rsidRDefault="00A32371" w:rsidP="00A32371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32371">
              <w:rPr>
                <w:rFonts w:asciiTheme="majorHAnsi" w:hAnsiTheme="majorHAnsi" w:cs="Arial"/>
                <w:sz w:val="22"/>
                <w:szCs w:val="22"/>
                <w:highlight w:val="cyan"/>
              </w:rPr>
              <w:t>A)</w:t>
            </w:r>
            <w:r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</w:t>
            </w:r>
            <w:r w:rsidRPr="00A3237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Choisissez A) si votre marché affiche une dépense à approuver HTVA ≤ 144.000€ HTVA.</w:t>
            </w:r>
          </w:p>
          <w:p w:rsidR="00D346CB" w:rsidRPr="00A32371" w:rsidRDefault="00D346CB" w:rsidP="00A32371">
            <w:pPr>
              <w:ind w:firstLine="601"/>
              <w:rPr>
                <w:rFonts w:asciiTheme="majorHAnsi" w:hAnsiTheme="majorHAnsi"/>
                <w:sz w:val="22"/>
                <w:szCs w:val="22"/>
              </w:rPr>
            </w:pPr>
            <w:r w:rsidRPr="00A32371">
              <w:rPr>
                <w:rFonts w:asciiTheme="majorHAnsi" w:hAnsiTheme="majorHAnsi"/>
                <w:sz w:val="22"/>
                <w:szCs w:val="22"/>
              </w:rPr>
              <w:t>Conformément à l’article 29/1, §1</w:t>
            </w:r>
            <w:r w:rsidRPr="00A32371">
              <w:rPr>
                <w:rFonts w:asciiTheme="majorHAnsi" w:hAnsiTheme="majorHAnsi"/>
                <w:sz w:val="22"/>
                <w:szCs w:val="22"/>
                <w:vertAlign w:val="superscript"/>
              </w:rPr>
              <w:t>er</w:t>
            </w:r>
            <w:r w:rsidRPr="00A32371">
              <w:rPr>
                <w:rFonts w:asciiTheme="majorHAnsi" w:hAnsiTheme="majorHAnsi"/>
                <w:sz w:val="22"/>
                <w:szCs w:val="22"/>
              </w:rPr>
              <w:t xml:space="preserve">, al.2, 2° de la loi du 17 juin 2013 relative à la motivation, à l’information et aux voies de recours en matière de marchés publics et de certains marchés de travaux, de fournitures et de services et de concessions, je vous informe que : </w:t>
            </w:r>
            <w:r w:rsidRPr="00A32371">
              <w:rPr>
                <w:rFonts w:asciiTheme="majorHAnsi" w:hAnsiTheme="majorHAnsi"/>
                <w:color w:val="0070C0"/>
                <w:sz w:val="22"/>
                <w:szCs w:val="22"/>
              </w:rPr>
              <w:t>1/</w:t>
            </w:r>
            <w:r w:rsidR="00F72417" w:rsidRPr="00A32371">
              <w:rPr>
                <w:rFonts w:asciiTheme="majorHAnsi" w:hAnsiTheme="majorHAnsi"/>
                <w:sz w:val="22"/>
                <w:szCs w:val="22"/>
              </w:rPr>
              <w:t xml:space="preserve"> vous n’avez pas été sélectionné</w:t>
            </w:r>
            <w:r w:rsidR="00F72417" w:rsidRPr="00A32371">
              <w:rPr>
                <w:rFonts w:asciiTheme="majorHAnsi" w:hAnsiTheme="majorHAnsi"/>
                <w:color w:val="0070C0"/>
                <w:sz w:val="22"/>
                <w:szCs w:val="22"/>
              </w:rPr>
              <w:t xml:space="preserve"> OU 2/</w:t>
            </w:r>
            <w:r w:rsidR="00F72417" w:rsidRPr="00A3237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32371">
              <w:rPr>
                <w:rFonts w:asciiTheme="majorHAnsi" w:hAnsiTheme="majorHAnsi"/>
                <w:sz w:val="22"/>
                <w:szCs w:val="22"/>
              </w:rPr>
              <w:t xml:space="preserve">l’offre que vous avez déposée dans le cadre du marché repris sous rubrique </w:t>
            </w:r>
            <w:r w:rsidR="00650B7C" w:rsidRPr="00A32371">
              <w:rPr>
                <w:rFonts w:asciiTheme="majorHAnsi" w:hAnsiTheme="majorHAnsi"/>
                <w:sz w:val="22"/>
                <w:szCs w:val="22"/>
                <w:highlight w:val="yellow"/>
              </w:rPr>
              <w:t>[</w:t>
            </w:r>
            <w:r w:rsidRPr="00A32371">
              <w:rPr>
                <w:rFonts w:asciiTheme="majorHAnsi" w:hAnsiTheme="majorHAnsi"/>
                <w:sz w:val="22"/>
                <w:szCs w:val="22"/>
                <w:highlight w:val="yellow"/>
              </w:rPr>
              <w:t>a été rejetée/ n’a pas été choisie</w:t>
            </w:r>
            <w:r w:rsidR="00650B7C" w:rsidRPr="00A32371">
              <w:rPr>
                <w:rFonts w:asciiTheme="majorHAnsi" w:hAnsiTheme="majorHAnsi"/>
                <w:sz w:val="22"/>
                <w:szCs w:val="22"/>
                <w:highlight w:val="yellow"/>
              </w:rPr>
              <w:t>]</w:t>
            </w:r>
            <w:r w:rsidR="00F72417">
              <w:rPr>
                <w:rFonts w:asciiTheme="majorHAnsi" w:hAnsiTheme="majorHAnsi"/>
                <w:sz w:val="22"/>
                <w:szCs w:val="22"/>
              </w:rPr>
              <w:t>.</w:t>
            </w:r>
            <w:r w:rsidRPr="00A323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D346CB" w:rsidRPr="00A32371" w:rsidRDefault="00D346CB" w:rsidP="00F72417">
            <w:pPr>
              <w:ind w:firstLine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32371">
              <w:rPr>
                <w:rFonts w:asciiTheme="majorHAnsi" w:hAnsiTheme="majorHAnsi" w:cs="Arial"/>
                <w:sz w:val="22"/>
                <w:szCs w:val="22"/>
              </w:rPr>
              <w:t xml:space="preserve">Je vous remercie néanmoins de l’intérêt que vous avez manifesté pour ce marché. </w:t>
            </w:r>
          </w:p>
          <w:p w:rsidR="00D346CB" w:rsidRPr="00A32371" w:rsidRDefault="00D346CB" w:rsidP="00F72417">
            <w:pPr>
              <w:ind w:firstLine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A32371">
              <w:rPr>
                <w:rFonts w:asciiTheme="majorHAnsi" w:hAnsiTheme="majorHAnsi" w:cs="Arial"/>
                <w:sz w:val="22"/>
                <w:szCs w:val="22"/>
              </w:rPr>
              <w:t xml:space="preserve">Je porte à votre attention le fait que dans un délai de 30 jours à compter de la date d’envoi de la présente, vous pouvez demander par écrit que vous soient communiqués : </w:t>
            </w:r>
          </w:p>
          <w:p w:rsidR="00F72417" w:rsidRPr="00D346CB" w:rsidRDefault="00F72417" w:rsidP="00F72417">
            <w:pPr>
              <w:ind w:left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>1</w:t>
            </w:r>
            <w:r w:rsidRPr="003058C3">
              <w:rPr>
                <w:rFonts w:asciiTheme="majorHAnsi" w:hAnsiTheme="majorHAnsi" w:cs="Arial"/>
                <w:color w:val="0070C0"/>
                <w:sz w:val="22"/>
                <w:szCs w:val="22"/>
              </w:rPr>
              <w:t>/</w:t>
            </w:r>
            <w:r w:rsidRPr="00D346CB">
              <w:rPr>
                <w:rFonts w:asciiTheme="majorHAnsi" w:hAnsiTheme="majorHAnsi" w:cs="Arial"/>
                <w:sz w:val="22"/>
                <w:szCs w:val="22"/>
              </w:rPr>
              <w:t xml:space="preserve"> les motifs de la non sélection</w:t>
            </w:r>
          </w:p>
          <w:p w:rsidR="00F72417" w:rsidRPr="00D346CB" w:rsidRDefault="00F72417" w:rsidP="00F72417">
            <w:pPr>
              <w:ind w:left="60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346C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Faire ce choix si le soumissionnaire n’a pas été sélectionné</w:t>
            </w:r>
            <w:r w:rsidR="00F43FB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72417" w:rsidRDefault="00F72417" w:rsidP="00F72417">
            <w:pPr>
              <w:ind w:left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>OU 2</w:t>
            </w:r>
            <w:r w:rsidR="00D346CB" w:rsidRPr="00A32371">
              <w:rPr>
                <w:rFonts w:asciiTheme="majorHAnsi" w:hAnsiTheme="majorHAnsi" w:cs="Arial"/>
                <w:color w:val="0070C0"/>
                <w:sz w:val="22"/>
                <w:szCs w:val="22"/>
              </w:rPr>
              <w:t>/</w:t>
            </w:r>
            <w:r w:rsidR="00D346CB" w:rsidRPr="00A32371">
              <w:rPr>
                <w:rFonts w:asciiTheme="majorHAnsi" w:hAnsiTheme="majorHAnsi" w:cs="Arial"/>
                <w:sz w:val="22"/>
                <w:szCs w:val="22"/>
              </w:rPr>
              <w:t xml:space="preserve"> les motifs du rejet </w:t>
            </w:r>
          </w:p>
          <w:p w:rsidR="00D346CB" w:rsidRPr="00F72417" w:rsidRDefault="00D346CB" w:rsidP="00F72417">
            <w:pPr>
              <w:ind w:left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Faire ce choix si l’offre a été </w:t>
            </w:r>
            <w:r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rejetée</w:t>
            </w:r>
            <w:r w:rsidR="00F43FB3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,</w:t>
            </w:r>
            <w:r w:rsidR="00F72417"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c'est-à-dire si le soumissionnaire a été sélectionné mais que son offre a été jugée non conforme ou irrégulière.</w:t>
            </w:r>
          </w:p>
          <w:p w:rsidR="00D346CB" w:rsidRPr="00D346CB" w:rsidRDefault="00BC766F" w:rsidP="00F72417">
            <w:pPr>
              <w:ind w:left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 xml:space="preserve">OU </w:t>
            </w:r>
            <w:r w:rsidR="00F72417">
              <w:rPr>
                <w:rFonts w:asciiTheme="majorHAnsi" w:hAnsiTheme="majorHAnsi" w:cs="Arial"/>
                <w:color w:val="0070C0"/>
                <w:sz w:val="22"/>
                <w:szCs w:val="22"/>
              </w:rPr>
              <w:t>3</w:t>
            </w:r>
            <w:r w:rsidR="00D346CB" w:rsidRPr="003058C3">
              <w:rPr>
                <w:rFonts w:asciiTheme="majorHAnsi" w:hAnsiTheme="majorHAnsi" w:cs="Arial"/>
                <w:color w:val="0070C0"/>
                <w:sz w:val="22"/>
                <w:szCs w:val="22"/>
              </w:rPr>
              <w:t>/</w:t>
            </w:r>
            <w:r w:rsidR="00D346CB" w:rsidRPr="00D346CB">
              <w:rPr>
                <w:rFonts w:asciiTheme="majorHAnsi" w:hAnsiTheme="majorHAnsi" w:cs="Arial"/>
                <w:sz w:val="22"/>
                <w:szCs w:val="22"/>
              </w:rPr>
              <w:t xml:space="preserve"> la décision motivée</w:t>
            </w:r>
          </w:p>
          <w:p w:rsidR="00D346CB" w:rsidRPr="00D346CB" w:rsidRDefault="00D346CB" w:rsidP="00F72417">
            <w:pPr>
              <w:ind w:left="60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346C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Faire ce choix si l’offre n’a pas été </w:t>
            </w:r>
            <w:r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choisie</w:t>
            </w:r>
            <w:r w:rsidR="00F43FB3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,</w:t>
            </w:r>
            <w:r w:rsidR="00F72417"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 c'est-à-dire si le soumissionnaire </w:t>
            </w:r>
            <w:r w:rsidR="00F43FB3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a été </w:t>
            </w:r>
            <w:r w:rsidR="00F72417"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sélectionné </w:t>
            </w:r>
            <w:r w:rsidR="00F43FB3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et </w:t>
            </w:r>
            <w:r w:rsidR="00F72417"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que son offre </w:t>
            </w:r>
            <w:r w:rsidR="00F43FB3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a été jugée </w:t>
            </w:r>
            <w:r w:rsidR="00F72417" w:rsidRPr="00F72417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régulière mais qu’elle n’est pas classée en ordre utile.</w:t>
            </w:r>
          </w:p>
          <w:p w:rsidR="00D346CB" w:rsidRPr="00D346CB" w:rsidRDefault="00D346CB" w:rsidP="00F72417">
            <w:pPr>
              <w:ind w:left="601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2"/>
                <w:szCs w:val="22"/>
              </w:rPr>
              <w:t>Le cas échéant, le pouvoir adjudicateur vous enverra ces informations complémentaires dans un délai de 15 jours à compter de la date de réception de votre éventuelle demande.</w:t>
            </w:r>
          </w:p>
          <w:p w:rsidR="00D6651C" w:rsidRPr="00A32371" w:rsidRDefault="00D346CB" w:rsidP="00D346CB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2"/>
                <w:szCs w:val="22"/>
              </w:rPr>
              <w:t>En cas de contestation de la présente décision, je vous invite à prendre connaissance des voies de recours possibles, mentionnées en annexe.</w:t>
            </w:r>
          </w:p>
        </w:tc>
      </w:tr>
    </w:tbl>
    <w:p w:rsidR="00D346CB" w:rsidRPr="00D346CB" w:rsidRDefault="00D346CB" w:rsidP="00D346CB">
      <w:pPr>
        <w:ind w:left="127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9292"/>
      </w:tblGrid>
      <w:tr w:rsidR="00D346CB" w:rsidRPr="00D346CB" w:rsidTr="00D346CB">
        <w:tc>
          <w:tcPr>
            <w:tcW w:w="9292" w:type="dxa"/>
          </w:tcPr>
          <w:p w:rsidR="00A32371" w:rsidRDefault="00D346CB" w:rsidP="00A32371">
            <w:pPr>
              <w:ind w:left="3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346CB">
              <w:rPr>
                <w:rFonts w:asciiTheme="majorHAnsi" w:hAnsiTheme="majorHAnsi" w:cs="Arial"/>
                <w:highlight w:val="cyan"/>
              </w:rPr>
              <w:t>B)</w:t>
            </w:r>
            <w:r w:rsidRPr="00D346CB">
              <w:rPr>
                <w:rFonts w:asciiTheme="majorHAnsi" w:hAnsiTheme="majorHAnsi" w:cs="Arial"/>
              </w:rPr>
              <w:t xml:space="preserve"> </w:t>
            </w:r>
            <w:r w:rsidR="00A32371" w:rsidRPr="00D346C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Choisi</w:t>
            </w:r>
            <w:r w:rsidR="00A32371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 xml:space="preserve">ssez B) </w:t>
            </w:r>
            <w:r w:rsidR="00A32371" w:rsidRPr="00D346CB">
              <w:rPr>
                <w:rFonts w:asciiTheme="majorHAnsi" w:hAnsiTheme="majorHAnsi" w:cs="Arial"/>
                <w:sz w:val="20"/>
                <w:szCs w:val="20"/>
                <w:highlight w:val="lightGray"/>
              </w:rPr>
              <w:t>si votre marché affiche une dépense à approuver HTVA &gt; 144.000€ HTVA.</w:t>
            </w:r>
          </w:p>
          <w:p w:rsidR="00D346CB" w:rsidRPr="00D346CB" w:rsidRDefault="00D346CB" w:rsidP="00D6651C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2"/>
                <w:szCs w:val="22"/>
              </w:rPr>
              <w:t>Conformément à l’article 29, §1</w:t>
            </w:r>
            <w:r w:rsidRPr="00D346CB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er</w:t>
            </w:r>
            <w:r w:rsidRPr="00D346CB">
              <w:rPr>
                <w:rFonts w:asciiTheme="majorHAnsi" w:hAnsiTheme="majorHAnsi" w:cs="Arial"/>
                <w:sz w:val="22"/>
                <w:szCs w:val="22"/>
              </w:rPr>
              <w:t>, al.1 de la loi du 17 juin 2013 relative à la motivation, à l’information et aux voies de recours en matière de marchés publics et de certains marchés de travaux, de fournitures et de services et de concessions, je vous informe que :</w:t>
            </w:r>
          </w:p>
          <w:p w:rsidR="00E436F4" w:rsidRPr="00D346CB" w:rsidRDefault="00E436F4" w:rsidP="00E436F4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>1</w:t>
            </w:r>
            <w:r w:rsidRPr="003058C3">
              <w:rPr>
                <w:rFonts w:asciiTheme="majorHAnsi" w:hAnsiTheme="majorHAnsi" w:cs="Arial"/>
                <w:color w:val="0070C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 xml:space="preserve"> </w:t>
            </w:r>
            <w:r w:rsidRPr="00D346CB">
              <w:rPr>
                <w:rFonts w:asciiTheme="majorHAnsi" w:hAnsiTheme="majorHAnsi" w:cs="Arial"/>
                <w:sz w:val="22"/>
                <w:szCs w:val="22"/>
              </w:rPr>
              <w:t>vous n’avez pas été sélectionné pour les raisons suivantes :</w:t>
            </w:r>
            <w:r w:rsidRPr="00D346CB">
              <w:rPr>
                <w:rFonts w:asciiTheme="majorHAnsi" w:hAnsiTheme="majorHAnsi" w:cs="Arial"/>
                <w:color w:val="FF0000"/>
                <w:sz w:val="22"/>
                <w:szCs w:val="22"/>
              </w:rPr>
              <w:t xml:space="preserve"> </w:t>
            </w:r>
            <w:r w:rsidRPr="00D346CB">
              <w:rPr>
                <w:rFonts w:asciiTheme="majorHAnsi" w:hAnsiTheme="majorHAnsi" w:cs="Arial"/>
                <w:sz w:val="22"/>
                <w:szCs w:val="22"/>
                <w:highlight w:val="yellow"/>
              </w:rPr>
              <w:t>[indiquer les motifs de sa non-</w:t>
            </w:r>
            <w:r w:rsidRPr="00D346CB">
              <w:rPr>
                <w:rFonts w:asciiTheme="majorHAnsi" w:hAnsiTheme="majorHAnsi" w:cs="Arial"/>
                <w:sz w:val="22"/>
                <w:szCs w:val="22"/>
                <w:highlight w:val="yellow"/>
              </w:rPr>
              <w:lastRenderedPageBreak/>
              <w:t>sélection par extraits de la décision motivée d’attribution]</w:t>
            </w:r>
          </w:p>
          <w:p w:rsidR="00D346CB" w:rsidRPr="00D346CB" w:rsidRDefault="00BC766F" w:rsidP="00D346CB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 xml:space="preserve">OU </w:t>
            </w:r>
            <w:r w:rsidR="00D346CB" w:rsidRPr="003058C3">
              <w:rPr>
                <w:rFonts w:asciiTheme="majorHAnsi" w:hAnsiTheme="majorHAnsi" w:cs="Arial"/>
                <w:color w:val="0070C0"/>
                <w:sz w:val="22"/>
                <w:szCs w:val="22"/>
              </w:rPr>
              <w:t>2/</w:t>
            </w:r>
            <w:r w:rsidR="00D346CB" w:rsidRPr="00D346CB">
              <w:rPr>
                <w:rFonts w:asciiTheme="majorHAnsi" w:hAnsiTheme="majorHAnsi" w:cs="Arial"/>
                <w:sz w:val="22"/>
                <w:szCs w:val="22"/>
              </w:rPr>
              <w:t xml:space="preserve"> l’offre que vous avez déposée dans le cadre du marché repris sous rubrique </w:t>
            </w:r>
            <w:r w:rsidR="00650B7C" w:rsidRPr="00650B7C">
              <w:rPr>
                <w:rFonts w:asciiTheme="majorHAnsi" w:hAnsiTheme="majorHAnsi" w:cs="Arial"/>
                <w:sz w:val="22"/>
                <w:szCs w:val="22"/>
                <w:highlight w:val="yellow"/>
              </w:rPr>
              <w:t>[</w:t>
            </w:r>
            <w:r w:rsidR="00D346CB" w:rsidRPr="00D346CB">
              <w:rPr>
                <w:rFonts w:asciiTheme="majorHAnsi" w:hAnsiTheme="majorHAnsi" w:cs="Arial"/>
                <w:sz w:val="22"/>
                <w:szCs w:val="22"/>
                <w:highlight w:val="yellow"/>
              </w:rPr>
              <w:t>a été jugée irrégulière/ a été jugée non conforme</w:t>
            </w:r>
            <w:r w:rsidR="00650B7C">
              <w:rPr>
                <w:rFonts w:asciiTheme="majorHAnsi" w:hAnsiTheme="majorHAnsi" w:cs="Arial"/>
                <w:sz w:val="22"/>
                <w:szCs w:val="22"/>
                <w:highlight w:val="yellow"/>
              </w:rPr>
              <w:t>]</w:t>
            </w:r>
            <w:r w:rsidR="00D346CB" w:rsidRPr="00D346CB">
              <w:rPr>
                <w:rFonts w:asciiTheme="majorHAnsi" w:hAnsiTheme="majorHAnsi" w:cs="Arial"/>
                <w:sz w:val="22"/>
                <w:szCs w:val="22"/>
              </w:rPr>
              <w:t xml:space="preserve"> pour les raisons suivantes : </w:t>
            </w:r>
            <w:r w:rsidR="00D346CB" w:rsidRPr="00D346CB">
              <w:rPr>
                <w:rFonts w:asciiTheme="majorHAnsi" w:hAnsiTheme="majorHAnsi" w:cs="Arial"/>
                <w:sz w:val="22"/>
                <w:szCs w:val="22"/>
                <w:highlight w:val="yellow"/>
              </w:rPr>
              <w:t>[indiquer les motifs de son éviction par extraits de la décision motivée d’attribution]</w:t>
            </w:r>
          </w:p>
          <w:p w:rsidR="00E436F4" w:rsidRPr="00D346CB" w:rsidRDefault="00E436F4" w:rsidP="00E436F4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70C0"/>
                <w:sz w:val="22"/>
                <w:szCs w:val="22"/>
              </w:rPr>
              <w:t>OU 3</w:t>
            </w:r>
            <w:r w:rsidRPr="003058C3">
              <w:rPr>
                <w:rFonts w:asciiTheme="majorHAnsi" w:hAnsiTheme="majorHAnsi" w:cs="Arial"/>
                <w:color w:val="0070C0"/>
                <w:sz w:val="22"/>
                <w:szCs w:val="22"/>
              </w:rPr>
              <w:t>/</w:t>
            </w:r>
            <w:r w:rsidRPr="00D346CB">
              <w:rPr>
                <w:rFonts w:asciiTheme="majorHAnsi" w:hAnsiTheme="majorHAnsi" w:cs="Arial"/>
                <w:sz w:val="22"/>
                <w:szCs w:val="22"/>
              </w:rPr>
              <w:t xml:space="preserve"> l’offre que vous avez déposée dans le cadre du marché repris sous rubrique n’a pas été choisie et vous trouverez la décision motivée d’attribution en annexe.</w:t>
            </w:r>
          </w:p>
          <w:p w:rsidR="00D346CB" w:rsidRPr="00D346CB" w:rsidRDefault="00D346CB" w:rsidP="00D346CB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2"/>
                <w:szCs w:val="22"/>
              </w:rPr>
              <w:t>Je vous remercie néanmoins de l’intérêt que vous avez manifesté pour ce marché.</w:t>
            </w:r>
          </w:p>
          <w:p w:rsidR="00D6651C" w:rsidRPr="00E464B5" w:rsidRDefault="00D346CB" w:rsidP="00A32371">
            <w:pPr>
              <w:ind w:left="34" w:firstLine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346CB">
              <w:rPr>
                <w:rFonts w:asciiTheme="majorHAnsi" w:hAnsiTheme="majorHAnsi" w:cs="Arial"/>
                <w:sz w:val="22"/>
                <w:szCs w:val="22"/>
              </w:rPr>
              <w:t>En cas de contestation de la présente décision, je vous invite à prendre connaissance des voies de recours possibles, mentionnées en annexe.</w:t>
            </w:r>
          </w:p>
        </w:tc>
      </w:tr>
    </w:tbl>
    <w:p w:rsidR="00872343" w:rsidRPr="00650B7C" w:rsidRDefault="00872343" w:rsidP="000B5BEB">
      <w:pPr>
        <w:ind w:left="1276" w:firstLine="567"/>
        <w:jc w:val="both"/>
        <w:rPr>
          <w:rFonts w:asciiTheme="majorHAnsi" w:hAnsiTheme="majorHAnsi" w:cs="Arial"/>
          <w:sz w:val="22"/>
          <w:szCs w:val="22"/>
        </w:rPr>
      </w:pPr>
    </w:p>
    <w:p w:rsidR="004208C9" w:rsidRPr="00650B7C" w:rsidRDefault="004D3BEF" w:rsidP="004D3BEF">
      <w:pPr>
        <w:ind w:left="1276" w:firstLine="567"/>
        <w:jc w:val="both"/>
        <w:rPr>
          <w:rFonts w:asciiTheme="majorHAnsi" w:hAnsiTheme="majorHAnsi" w:cs="Arial"/>
          <w:sz w:val="22"/>
          <w:szCs w:val="22"/>
        </w:rPr>
      </w:pPr>
      <w:r w:rsidRPr="00650B7C">
        <w:rPr>
          <w:rFonts w:asciiTheme="majorHAnsi" w:hAnsiTheme="majorHAnsi" w:cs="Arial"/>
          <w:sz w:val="22"/>
          <w:szCs w:val="22"/>
        </w:rPr>
        <w:t>Je</w:t>
      </w:r>
      <w:r w:rsidR="004208C9" w:rsidRPr="00650B7C">
        <w:rPr>
          <w:rFonts w:asciiTheme="majorHAnsi" w:hAnsiTheme="majorHAnsi" w:cs="Arial"/>
          <w:sz w:val="22"/>
          <w:szCs w:val="22"/>
        </w:rPr>
        <w:t xml:space="preserve"> vous prie d’agréer, Maître, l’assurance de ma meilleure considération.</w:t>
      </w:r>
    </w:p>
    <w:p w:rsidR="004208C9" w:rsidRPr="00650B7C" w:rsidRDefault="004208C9" w:rsidP="004208C9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4208C9" w:rsidRPr="00650B7C" w:rsidRDefault="004208C9" w:rsidP="004208C9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4208C9" w:rsidRPr="00650B7C" w:rsidRDefault="004208C9" w:rsidP="004208C9">
      <w:pPr>
        <w:pStyle w:val="Sansinterligne"/>
        <w:tabs>
          <w:tab w:val="left" w:pos="1276"/>
        </w:tabs>
        <w:ind w:left="2124" w:hanging="848"/>
        <w:rPr>
          <w:rFonts w:asciiTheme="majorHAnsi" w:hAnsiTheme="majorHAnsi" w:cs="Arial"/>
        </w:rPr>
      </w:pPr>
    </w:p>
    <w:p w:rsidR="00331D56" w:rsidRPr="00650B7C" w:rsidRDefault="004208C9" w:rsidP="004D3BEF">
      <w:pPr>
        <w:pStyle w:val="Sansinterligne"/>
        <w:ind w:left="6804"/>
        <w:jc w:val="both"/>
        <w:rPr>
          <w:rFonts w:asciiTheme="majorHAnsi" w:hAnsiTheme="majorHAnsi" w:cs="Arial"/>
        </w:rPr>
      </w:pPr>
      <w:r w:rsidRPr="00650B7C">
        <w:rPr>
          <w:rFonts w:asciiTheme="majorHAnsi" w:hAnsiTheme="majorHAnsi" w:cs="Arial"/>
        </w:rPr>
        <w:t xml:space="preserve">Signature </w:t>
      </w:r>
    </w:p>
    <w:p w:rsidR="002A65DE" w:rsidRPr="00D346CB" w:rsidRDefault="00EF6D58" w:rsidP="004D3BEF">
      <w:pPr>
        <w:pStyle w:val="Sansinterligne"/>
        <w:ind w:left="6804"/>
        <w:jc w:val="both"/>
        <w:rPr>
          <w:rFonts w:asciiTheme="majorHAnsi" w:hAnsiTheme="majorHAnsi" w:cs="Arial"/>
          <w:sz w:val="20"/>
          <w:szCs w:val="20"/>
        </w:rPr>
      </w:pPr>
      <w:r w:rsidRPr="00FD3716">
        <w:rPr>
          <w:rFonts w:asciiTheme="majorHAnsi" w:hAnsiTheme="majorHAnsi" w:cs="Arial"/>
          <w:sz w:val="20"/>
          <w:szCs w:val="20"/>
          <w:highlight w:val="lightGray"/>
        </w:rPr>
        <w:t>Voir art. 18 de l’AGW du 08/10/2009 relatif aux délégations de pouvoirs aux agents statutaires du Services Public de Wallonie.</w:t>
      </w:r>
    </w:p>
    <w:p w:rsidR="004A67B1" w:rsidRPr="00D346CB" w:rsidRDefault="004A67B1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706697" w:rsidRPr="00D346CB" w:rsidRDefault="00706697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8965D5" w:rsidRDefault="002A65DE" w:rsidP="008965D5">
      <w:pPr>
        <w:pStyle w:val="Sansinterligne"/>
        <w:ind w:left="993"/>
        <w:jc w:val="both"/>
        <w:rPr>
          <w:rFonts w:asciiTheme="majorHAnsi" w:hAnsiTheme="majorHAnsi" w:cs="Arial"/>
        </w:rPr>
      </w:pPr>
      <w:r w:rsidRPr="00650B7C">
        <w:rPr>
          <w:rFonts w:asciiTheme="majorHAnsi" w:hAnsiTheme="majorHAnsi" w:cs="Arial"/>
        </w:rPr>
        <w:t xml:space="preserve">Annexe 1 – </w:t>
      </w:r>
      <w:r w:rsidR="004A67B1" w:rsidRPr="00650B7C">
        <w:rPr>
          <w:rFonts w:asciiTheme="majorHAnsi" w:hAnsiTheme="majorHAnsi" w:cs="Arial"/>
        </w:rPr>
        <w:t>Voies de recours</w:t>
      </w:r>
    </w:p>
    <w:p w:rsidR="008965D5" w:rsidRDefault="008965D5" w:rsidP="008965D5">
      <w:pPr>
        <w:pStyle w:val="Sansinterligne"/>
        <w:ind w:left="99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highlight w:val="lightGray"/>
        </w:rPr>
        <w:t xml:space="preserve">L’annexe « Voies de recours » est disponible sur : </w:t>
      </w:r>
      <w:hyperlink r:id="rId8" w:history="1">
        <w:r>
          <w:rPr>
            <w:rStyle w:val="Lienhypertexte"/>
            <w:rFonts w:asciiTheme="majorHAnsi" w:hAnsiTheme="majorHAnsi" w:cs="Arial"/>
            <w:sz w:val="20"/>
            <w:szCs w:val="20"/>
            <w:highlight w:val="lightGray"/>
          </w:rPr>
          <w:t>http://intranet.spw.wallonie.be/home/outils/juridique/actes-administratifs-individuels/indication-des-voies-de-recours.html</w:t>
        </w:r>
      </w:hyperlink>
    </w:p>
    <w:p w:rsidR="002A65DE" w:rsidRPr="00650B7C" w:rsidRDefault="004A67B1" w:rsidP="002A65DE">
      <w:pPr>
        <w:pStyle w:val="Sansinterligne"/>
        <w:ind w:left="993"/>
        <w:jc w:val="both"/>
        <w:rPr>
          <w:rFonts w:asciiTheme="majorHAnsi" w:hAnsiTheme="majorHAnsi" w:cs="Arial"/>
        </w:rPr>
      </w:pPr>
      <w:r w:rsidRPr="00650B7C">
        <w:rPr>
          <w:rFonts w:asciiTheme="majorHAnsi" w:hAnsiTheme="majorHAnsi" w:cs="Arial"/>
          <w:highlight w:val="yellow"/>
        </w:rPr>
        <w:t>[</w:t>
      </w:r>
      <w:r w:rsidR="00706697" w:rsidRPr="00650B7C">
        <w:rPr>
          <w:rFonts w:asciiTheme="majorHAnsi" w:hAnsiTheme="majorHAnsi" w:cs="Arial"/>
          <w:highlight w:val="yellow"/>
          <w:u w:val="single" w:color="FF0000"/>
        </w:rPr>
        <w:t>Uniquement</w:t>
      </w:r>
      <w:r w:rsidRPr="00650B7C">
        <w:rPr>
          <w:rFonts w:asciiTheme="majorHAnsi" w:hAnsiTheme="majorHAnsi" w:cs="Arial"/>
          <w:highlight w:val="yellow"/>
        </w:rPr>
        <w:t xml:space="preserve"> le cas échéant : </w:t>
      </w:r>
      <w:r w:rsidR="002A65DE" w:rsidRPr="00650B7C">
        <w:rPr>
          <w:rFonts w:asciiTheme="majorHAnsi" w:hAnsiTheme="majorHAnsi" w:cs="Arial"/>
          <w:highlight w:val="yellow"/>
        </w:rPr>
        <w:t xml:space="preserve">Annexe 2 – </w:t>
      </w:r>
      <w:r w:rsidRPr="00650B7C">
        <w:rPr>
          <w:rFonts w:asciiTheme="majorHAnsi" w:hAnsiTheme="majorHAnsi" w:cs="Arial"/>
          <w:highlight w:val="yellow"/>
        </w:rPr>
        <w:t>décision motivée d’attribution]</w:t>
      </w:r>
    </w:p>
    <w:p w:rsidR="00304656" w:rsidRPr="00650B7C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650B7C" w:rsidRPr="00D346CB" w:rsidRDefault="00650B7C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D346CB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Default="00304656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8C5488" w:rsidRDefault="008C5488" w:rsidP="002A65DE">
      <w:pPr>
        <w:pStyle w:val="Sansinterligne"/>
        <w:ind w:left="993"/>
        <w:jc w:val="both"/>
        <w:rPr>
          <w:rFonts w:asciiTheme="majorHAnsi" w:hAnsiTheme="majorHAnsi" w:cs="Arial"/>
        </w:rPr>
      </w:pPr>
    </w:p>
    <w:p w:rsidR="00304656" w:rsidRPr="00331D56" w:rsidRDefault="00304656" w:rsidP="00D6651C">
      <w:pPr>
        <w:pStyle w:val="NormalWeb"/>
        <w:jc w:val="both"/>
        <w:rPr>
          <w:rFonts w:ascii="Arial" w:hAnsi="Arial" w:cs="Arial"/>
        </w:rPr>
      </w:pPr>
    </w:p>
    <w:sectPr w:rsidR="00304656" w:rsidRPr="00331D56" w:rsidSect="0065656F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02" w:rsidRDefault="009D6902">
      <w:r>
        <w:separator/>
      </w:r>
    </w:p>
  </w:endnote>
  <w:endnote w:type="continuationSeparator" w:id="0">
    <w:p w:rsidR="009D6902" w:rsidRDefault="009D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02" w:rsidRDefault="009D69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02" w:rsidRDefault="009D690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210D3">
      <w:rPr>
        <w:rFonts w:asciiTheme="majorHAnsi" w:hAnsiTheme="majorHAnsi"/>
        <w:sz w:val="20"/>
        <w:szCs w:val="20"/>
      </w:rPr>
      <w:t xml:space="preserve">Lettre soumissionnaire </w:t>
    </w:r>
    <w:r>
      <w:rPr>
        <w:rFonts w:asciiTheme="majorHAnsi" w:hAnsiTheme="majorHAnsi"/>
        <w:sz w:val="20"/>
        <w:szCs w:val="20"/>
      </w:rPr>
      <w:t xml:space="preserve">non </w:t>
    </w:r>
    <w:r w:rsidRPr="003210D3">
      <w:rPr>
        <w:rFonts w:asciiTheme="majorHAnsi" w:hAnsiTheme="majorHAnsi"/>
        <w:sz w:val="20"/>
        <w:szCs w:val="20"/>
      </w:rPr>
      <w:t>retenu</w:t>
    </w:r>
    <w:r>
      <w:rPr>
        <w:rFonts w:asciiTheme="majorHAnsi" w:hAnsiTheme="majorHAnsi"/>
        <w:sz w:val="20"/>
        <w:szCs w:val="20"/>
      </w:rPr>
      <w:t>/non sélectionné/offre rejetée, irrégulière, non conforme</w:t>
    </w:r>
    <w:r w:rsidRPr="003210D3">
      <w:rPr>
        <w:rFonts w:asciiTheme="majorHAnsi" w:hAnsiTheme="majorHAnsi"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 xml:space="preserve">– consultance ≥30.000€ mais &lt;750.000€ </w:t>
    </w:r>
    <w:proofErr w:type="spellStart"/>
    <w:r>
      <w:rPr>
        <w:rFonts w:asciiTheme="majorHAnsi" w:hAnsiTheme="majorHAnsi"/>
        <w:sz w:val="20"/>
        <w:szCs w:val="20"/>
      </w:rPr>
      <w:t>Htva</w:t>
    </w:r>
    <w:proofErr w:type="spellEnd"/>
    <w:r>
      <w:rPr>
        <w:rFonts w:asciiTheme="majorHAnsi" w:hAnsiTheme="majorHAnsi"/>
        <w:sz w:val="20"/>
        <w:szCs w:val="20"/>
      </w:rPr>
      <w:t xml:space="preserve"> </w:t>
    </w:r>
    <w:r w:rsidRPr="003210D3">
      <w:rPr>
        <w:rFonts w:asciiTheme="majorHAnsi" w:hAnsiTheme="majorHAnsi"/>
        <w:sz w:val="20"/>
        <w:szCs w:val="20"/>
      </w:rPr>
      <w:t>- Version du 08/0</w:t>
    </w:r>
    <w:r>
      <w:rPr>
        <w:rFonts w:asciiTheme="majorHAnsi" w:hAnsiTheme="majorHAnsi"/>
        <w:sz w:val="20"/>
        <w:szCs w:val="20"/>
      </w:rPr>
      <w:t>5</w:t>
    </w:r>
    <w:r w:rsidRPr="003210D3">
      <w:rPr>
        <w:rFonts w:asciiTheme="majorHAnsi" w:hAnsiTheme="majorHAnsi"/>
        <w:sz w:val="20"/>
        <w:szCs w:val="20"/>
      </w:rPr>
      <w:t>/2018</w:t>
    </w:r>
    <w:r w:rsidRPr="003210D3">
      <w:rPr>
        <w:rFonts w:asciiTheme="majorHAnsi" w:hAnsiTheme="majorHAnsi"/>
        <w:sz w:val="20"/>
        <w:szCs w:val="20"/>
      </w:rPr>
      <w:ptab w:relativeTo="margin" w:alignment="right" w:leader="none"/>
    </w:r>
    <w:r w:rsidRPr="003210D3">
      <w:rPr>
        <w:rFonts w:asciiTheme="majorHAnsi" w:hAnsiTheme="majorHAnsi"/>
        <w:sz w:val="20"/>
        <w:szCs w:val="20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E436F4" w:rsidRPr="00E436F4">
        <w:rPr>
          <w:rFonts w:asciiTheme="majorHAnsi" w:hAnsiTheme="majorHAnsi"/>
          <w:noProof/>
        </w:rPr>
        <w:t>2</w:t>
      </w:r>
    </w:fldSimple>
  </w:p>
  <w:p w:rsidR="009D6902" w:rsidRDefault="009D69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02" w:rsidRDefault="009D6902">
      <w:r>
        <w:separator/>
      </w:r>
    </w:p>
  </w:footnote>
  <w:footnote w:type="continuationSeparator" w:id="0">
    <w:p w:rsidR="009D6902" w:rsidRDefault="009D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9D6902">
      <w:trPr>
        <w:trHeight w:val="1556"/>
      </w:trPr>
      <w:tc>
        <w:tcPr>
          <w:tcW w:w="7655" w:type="dxa"/>
        </w:tcPr>
        <w:p w:rsidR="009D6902" w:rsidRDefault="009D6902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0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9D6902" w:rsidRDefault="009D6902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9D6902" w:rsidRDefault="009D6902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D6902" w:rsidRDefault="009D6902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9D6902" w:rsidRPr="00784289" w:rsidRDefault="0002248C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D6902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9D6902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E436F4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2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9D6902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9D6902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9D6902" w:rsidRDefault="009D6902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436F4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436F4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2248C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9D6902" w:rsidRDefault="009D6902">
          <w:pPr>
            <w:jc w:val="right"/>
            <w:rPr>
              <w:rFonts w:ascii="Arial" w:hAnsi="Arial" w:cs="Arial"/>
            </w:rPr>
          </w:pPr>
        </w:p>
      </w:tc>
    </w:tr>
  </w:tbl>
  <w:p w:rsidR="009D6902" w:rsidRDefault="0002248C">
    <w:pPr>
      <w:pStyle w:val="En-tte"/>
    </w:pPr>
    <w:r w:rsidRPr="0002248C"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;mso-next-textbox:#Rectangle 3">
            <w:txbxContent>
              <w:p w:rsidR="009D6902" w:rsidRDefault="0002248C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9D6902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9D6902" w:rsidRDefault="009D6902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9D6902" w:rsidRDefault="009D6902"/>
              <w:p w:rsidR="009D6902" w:rsidRDefault="009D6902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9D6902">
      <w:trPr>
        <w:trHeight w:val="1556"/>
      </w:trPr>
      <w:tc>
        <w:tcPr>
          <w:tcW w:w="8278" w:type="dxa"/>
        </w:tcPr>
        <w:p w:rsidR="009D6902" w:rsidRDefault="0002248C">
          <w:pPr>
            <w:jc w:val="right"/>
          </w:pPr>
          <w:r w:rsidRPr="0002248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9D6902" w:rsidRDefault="009D690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9D6902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9D6902" w:rsidRDefault="009D690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9D6902" w:rsidRDefault="0002248C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9D6902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D6902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D6902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9D6902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9D6902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D6902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9D6902" w:rsidRDefault="009D6902">
          <w:pPr>
            <w:jc w:val="right"/>
            <w:rPr>
              <w:rFonts w:ascii="Arial" w:hAnsi="Arial" w:cs="Arial"/>
            </w:rPr>
          </w:pPr>
        </w:p>
      </w:tc>
    </w:tr>
  </w:tbl>
  <w:p w:rsidR="009D6902" w:rsidRDefault="009D69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3CA"/>
    <w:multiLevelType w:val="hybridMultilevel"/>
    <w:tmpl w:val="49AEF99A"/>
    <w:lvl w:ilvl="0" w:tplc="08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3A66E7C"/>
    <w:multiLevelType w:val="hybridMultilevel"/>
    <w:tmpl w:val="A2E8269A"/>
    <w:lvl w:ilvl="0" w:tplc="FA7AB9C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82F69"/>
    <w:multiLevelType w:val="hybridMultilevel"/>
    <w:tmpl w:val="0158E6CC"/>
    <w:lvl w:ilvl="0" w:tplc="C22A6EB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49AF"/>
    <w:multiLevelType w:val="hybridMultilevel"/>
    <w:tmpl w:val="05468F6E"/>
    <w:lvl w:ilvl="0" w:tplc="27FC541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3C9C"/>
    <w:multiLevelType w:val="hybridMultilevel"/>
    <w:tmpl w:val="C9E04514"/>
    <w:lvl w:ilvl="0" w:tplc="4DB4487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4922"/>
    <w:multiLevelType w:val="hybridMultilevel"/>
    <w:tmpl w:val="41A266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0399"/>
    <w:multiLevelType w:val="hybridMultilevel"/>
    <w:tmpl w:val="534CFC5E"/>
    <w:lvl w:ilvl="0" w:tplc="75B28B9C">
      <w:start w:val="1"/>
      <w:numFmt w:val="upperLetter"/>
      <w:lvlText w:val="%1)"/>
      <w:lvlJc w:val="left"/>
      <w:pPr>
        <w:ind w:left="1456" w:hanging="855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681" w:hanging="360"/>
      </w:pPr>
    </w:lvl>
    <w:lvl w:ilvl="2" w:tplc="080C001B" w:tentative="1">
      <w:start w:val="1"/>
      <w:numFmt w:val="lowerRoman"/>
      <w:lvlText w:val="%3."/>
      <w:lvlJc w:val="right"/>
      <w:pPr>
        <w:ind w:left="2401" w:hanging="180"/>
      </w:pPr>
    </w:lvl>
    <w:lvl w:ilvl="3" w:tplc="080C000F" w:tentative="1">
      <w:start w:val="1"/>
      <w:numFmt w:val="decimal"/>
      <w:lvlText w:val="%4."/>
      <w:lvlJc w:val="left"/>
      <w:pPr>
        <w:ind w:left="3121" w:hanging="360"/>
      </w:pPr>
    </w:lvl>
    <w:lvl w:ilvl="4" w:tplc="080C0019" w:tentative="1">
      <w:start w:val="1"/>
      <w:numFmt w:val="lowerLetter"/>
      <w:lvlText w:val="%5."/>
      <w:lvlJc w:val="left"/>
      <w:pPr>
        <w:ind w:left="3841" w:hanging="360"/>
      </w:pPr>
    </w:lvl>
    <w:lvl w:ilvl="5" w:tplc="080C001B" w:tentative="1">
      <w:start w:val="1"/>
      <w:numFmt w:val="lowerRoman"/>
      <w:lvlText w:val="%6."/>
      <w:lvlJc w:val="right"/>
      <w:pPr>
        <w:ind w:left="4561" w:hanging="180"/>
      </w:pPr>
    </w:lvl>
    <w:lvl w:ilvl="6" w:tplc="080C000F" w:tentative="1">
      <w:start w:val="1"/>
      <w:numFmt w:val="decimal"/>
      <w:lvlText w:val="%7."/>
      <w:lvlJc w:val="left"/>
      <w:pPr>
        <w:ind w:left="5281" w:hanging="360"/>
      </w:pPr>
    </w:lvl>
    <w:lvl w:ilvl="7" w:tplc="080C0019" w:tentative="1">
      <w:start w:val="1"/>
      <w:numFmt w:val="lowerLetter"/>
      <w:lvlText w:val="%8."/>
      <w:lvlJc w:val="left"/>
      <w:pPr>
        <w:ind w:left="6001" w:hanging="360"/>
      </w:pPr>
    </w:lvl>
    <w:lvl w:ilvl="8" w:tplc="08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D745CA0"/>
    <w:multiLevelType w:val="hybridMultilevel"/>
    <w:tmpl w:val="4FB2EFCA"/>
    <w:lvl w:ilvl="0" w:tplc="5986C022">
      <w:start w:val="1"/>
      <w:numFmt w:val="upperLetter"/>
      <w:lvlText w:val="(%1)"/>
      <w:lvlJc w:val="left"/>
      <w:pPr>
        <w:ind w:left="2803" w:hanging="9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923" w:hanging="360"/>
      </w:pPr>
    </w:lvl>
    <w:lvl w:ilvl="2" w:tplc="080C001B" w:tentative="1">
      <w:start w:val="1"/>
      <w:numFmt w:val="lowerRoman"/>
      <w:lvlText w:val="%3."/>
      <w:lvlJc w:val="right"/>
      <w:pPr>
        <w:ind w:left="3643" w:hanging="180"/>
      </w:pPr>
    </w:lvl>
    <w:lvl w:ilvl="3" w:tplc="080C000F" w:tentative="1">
      <w:start w:val="1"/>
      <w:numFmt w:val="decimal"/>
      <w:lvlText w:val="%4."/>
      <w:lvlJc w:val="left"/>
      <w:pPr>
        <w:ind w:left="4363" w:hanging="360"/>
      </w:pPr>
    </w:lvl>
    <w:lvl w:ilvl="4" w:tplc="080C0019" w:tentative="1">
      <w:start w:val="1"/>
      <w:numFmt w:val="lowerLetter"/>
      <w:lvlText w:val="%5."/>
      <w:lvlJc w:val="left"/>
      <w:pPr>
        <w:ind w:left="5083" w:hanging="360"/>
      </w:pPr>
    </w:lvl>
    <w:lvl w:ilvl="5" w:tplc="080C001B" w:tentative="1">
      <w:start w:val="1"/>
      <w:numFmt w:val="lowerRoman"/>
      <w:lvlText w:val="%6."/>
      <w:lvlJc w:val="right"/>
      <w:pPr>
        <w:ind w:left="5803" w:hanging="180"/>
      </w:pPr>
    </w:lvl>
    <w:lvl w:ilvl="6" w:tplc="080C000F" w:tentative="1">
      <w:start w:val="1"/>
      <w:numFmt w:val="decimal"/>
      <w:lvlText w:val="%7."/>
      <w:lvlJc w:val="left"/>
      <w:pPr>
        <w:ind w:left="6523" w:hanging="360"/>
      </w:pPr>
    </w:lvl>
    <w:lvl w:ilvl="7" w:tplc="080C0019" w:tentative="1">
      <w:start w:val="1"/>
      <w:numFmt w:val="lowerLetter"/>
      <w:lvlText w:val="%8."/>
      <w:lvlJc w:val="left"/>
      <w:pPr>
        <w:ind w:left="7243" w:hanging="360"/>
      </w:pPr>
    </w:lvl>
    <w:lvl w:ilvl="8" w:tplc="08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139C9"/>
    <w:rsid w:val="0002248C"/>
    <w:rsid w:val="00037455"/>
    <w:rsid w:val="000422F3"/>
    <w:rsid w:val="000462EC"/>
    <w:rsid w:val="000B1090"/>
    <w:rsid w:val="000B5BEB"/>
    <w:rsid w:val="000B7A96"/>
    <w:rsid w:val="00146C4D"/>
    <w:rsid w:val="00192BE7"/>
    <w:rsid w:val="00193D6D"/>
    <w:rsid w:val="00195F71"/>
    <w:rsid w:val="001A6230"/>
    <w:rsid w:val="001C2D0E"/>
    <w:rsid w:val="001E78DB"/>
    <w:rsid w:val="0020458E"/>
    <w:rsid w:val="00210CFE"/>
    <w:rsid w:val="00230AC5"/>
    <w:rsid w:val="0025482A"/>
    <w:rsid w:val="002A65DE"/>
    <w:rsid w:val="002C3C3F"/>
    <w:rsid w:val="002C72DA"/>
    <w:rsid w:val="00304656"/>
    <w:rsid w:val="003058C3"/>
    <w:rsid w:val="00311174"/>
    <w:rsid w:val="00314CE8"/>
    <w:rsid w:val="003210D3"/>
    <w:rsid w:val="00331D56"/>
    <w:rsid w:val="00356CC1"/>
    <w:rsid w:val="00381DED"/>
    <w:rsid w:val="003823AA"/>
    <w:rsid w:val="003D2135"/>
    <w:rsid w:val="004208C9"/>
    <w:rsid w:val="00423579"/>
    <w:rsid w:val="00460686"/>
    <w:rsid w:val="00465005"/>
    <w:rsid w:val="00486FC8"/>
    <w:rsid w:val="004A67B1"/>
    <w:rsid w:val="004D3BEF"/>
    <w:rsid w:val="004E14A0"/>
    <w:rsid w:val="00530A2E"/>
    <w:rsid w:val="005720CD"/>
    <w:rsid w:val="00584FBA"/>
    <w:rsid w:val="00597D8A"/>
    <w:rsid w:val="005A12A1"/>
    <w:rsid w:val="005F42FE"/>
    <w:rsid w:val="005F7815"/>
    <w:rsid w:val="00601CE8"/>
    <w:rsid w:val="006022B3"/>
    <w:rsid w:val="006136E8"/>
    <w:rsid w:val="00650B7C"/>
    <w:rsid w:val="0065656F"/>
    <w:rsid w:val="006644DF"/>
    <w:rsid w:val="006852F2"/>
    <w:rsid w:val="00690993"/>
    <w:rsid w:val="006B08F3"/>
    <w:rsid w:val="006C6276"/>
    <w:rsid w:val="006D5140"/>
    <w:rsid w:val="006E4914"/>
    <w:rsid w:val="0070341B"/>
    <w:rsid w:val="00706697"/>
    <w:rsid w:val="00720672"/>
    <w:rsid w:val="00741743"/>
    <w:rsid w:val="00762B8A"/>
    <w:rsid w:val="00766CF0"/>
    <w:rsid w:val="00782F9E"/>
    <w:rsid w:val="00784289"/>
    <w:rsid w:val="0078448D"/>
    <w:rsid w:val="007A096A"/>
    <w:rsid w:val="007C2E82"/>
    <w:rsid w:val="007C374F"/>
    <w:rsid w:val="007E7983"/>
    <w:rsid w:val="00815B1B"/>
    <w:rsid w:val="008711C9"/>
    <w:rsid w:val="00872343"/>
    <w:rsid w:val="00882954"/>
    <w:rsid w:val="008965D5"/>
    <w:rsid w:val="008B3638"/>
    <w:rsid w:val="008B4D5C"/>
    <w:rsid w:val="008C5488"/>
    <w:rsid w:val="008F1885"/>
    <w:rsid w:val="00900AFC"/>
    <w:rsid w:val="00961524"/>
    <w:rsid w:val="00961DAE"/>
    <w:rsid w:val="009B32DE"/>
    <w:rsid w:val="009D6902"/>
    <w:rsid w:val="00A22853"/>
    <w:rsid w:val="00A269E5"/>
    <w:rsid w:val="00A32371"/>
    <w:rsid w:val="00A3419E"/>
    <w:rsid w:val="00A561B4"/>
    <w:rsid w:val="00A720B3"/>
    <w:rsid w:val="00A82417"/>
    <w:rsid w:val="00B1079B"/>
    <w:rsid w:val="00BA4D40"/>
    <w:rsid w:val="00BC766F"/>
    <w:rsid w:val="00BF4D73"/>
    <w:rsid w:val="00C40043"/>
    <w:rsid w:val="00C804A6"/>
    <w:rsid w:val="00C93442"/>
    <w:rsid w:val="00CC67D5"/>
    <w:rsid w:val="00CF3665"/>
    <w:rsid w:val="00D01E88"/>
    <w:rsid w:val="00D346CB"/>
    <w:rsid w:val="00D57C4A"/>
    <w:rsid w:val="00D6651C"/>
    <w:rsid w:val="00D815D3"/>
    <w:rsid w:val="00DA1BFB"/>
    <w:rsid w:val="00DA31BC"/>
    <w:rsid w:val="00DB10DD"/>
    <w:rsid w:val="00DB1671"/>
    <w:rsid w:val="00DC0919"/>
    <w:rsid w:val="00DD1A5D"/>
    <w:rsid w:val="00DF30E9"/>
    <w:rsid w:val="00E03F20"/>
    <w:rsid w:val="00E26A3E"/>
    <w:rsid w:val="00E30C65"/>
    <w:rsid w:val="00E436F4"/>
    <w:rsid w:val="00E464B5"/>
    <w:rsid w:val="00E92B98"/>
    <w:rsid w:val="00EA7DE2"/>
    <w:rsid w:val="00EC2806"/>
    <w:rsid w:val="00EF6D58"/>
    <w:rsid w:val="00F1299F"/>
    <w:rsid w:val="00F16ADF"/>
    <w:rsid w:val="00F43ED9"/>
    <w:rsid w:val="00F43FB3"/>
    <w:rsid w:val="00F72417"/>
    <w:rsid w:val="00FB3D48"/>
    <w:rsid w:val="00FD13B0"/>
    <w:rsid w:val="00FD1DEC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465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caps/>
      <w:spacing w:val="15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5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Retraitcorpsdetexte3">
    <w:name w:val="Body Text Indent 3"/>
    <w:basedOn w:val="Normal"/>
    <w:link w:val="Retraitcorpsdetexte3Car"/>
    <w:rsid w:val="00D815D3"/>
    <w:pPr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customStyle="1" w:styleId="Retraitcorpsdetexte3Car">
    <w:name w:val="Retrait corps de texte 3 Car"/>
    <w:basedOn w:val="Policepardfaut"/>
    <w:link w:val="Retraitcorpsdetexte3"/>
    <w:rsid w:val="00D815D3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Sansinterligne">
    <w:name w:val="No Spacing"/>
    <w:uiPriority w:val="1"/>
    <w:qFormat/>
    <w:rsid w:val="00E03F20"/>
    <w:rPr>
      <w:rFonts w:ascii="Calibri" w:eastAsia="Calibri" w:hAnsi="Calibri" w:cs="Times New Roman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B36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6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6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6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638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E14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22853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723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72343"/>
  </w:style>
  <w:style w:type="character" w:customStyle="1" w:styleId="Titre2Car">
    <w:name w:val="Titre 2 Car"/>
    <w:basedOn w:val="Policepardfaut"/>
    <w:link w:val="Titre2"/>
    <w:uiPriority w:val="9"/>
    <w:rsid w:val="00304656"/>
    <w:rPr>
      <w:caps/>
      <w:spacing w:val="15"/>
      <w:sz w:val="22"/>
      <w:szCs w:val="22"/>
      <w:shd w:val="clear" w:color="auto" w:fill="DBE5F1" w:themeFill="accent1" w:themeFillTint="33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3046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fr-B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pw.wallonie.be/home/outils/juridique/actes-administratifs-individuels/indication-des-voies-de-recours.htm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B58E-5386-4D88-AB7E-A79907E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32907</cp:lastModifiedBy>
  <cp:revision>47</cp:revision>
  <cp:lastPrinted>2018-05-09T10:09:00Z</cp:lastPrinted>
  <dcterms:created xsi:type="dcterms:W3CDTF">2018-03-08T08:36:00Z</dcterms:created>
  <dcterms:modified xsi:type="dcterms:W3CDTF">2018-05-18T07:44:00Z</dcterms:modified>
</cp:coreProperties>
</file>