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3286" w14:textId="2C978376" w:rsidR="00453E8E" w:rsidRDefault="00453E8E" w:rsidP="00EC4F23">
      <w:pPr>
        <w:rPr>
          <w:rFonts w:ascii="Century Gothic" w:hAnsi="Century Gothic"/>
        </w:rPr>
      </w:pPr>
    </w:p>
    <w:p w14:paraId="4B9B1AD6" w14:textId="77777777" w:rsidR="00453E8E" w:rsidRDefault="00453E8E" w:rsidP="00EC4F23">
      <w:pPr>
        <w:rPr>
          <w:rFonts w:ascii="Century Gothic" w:hAnsi="Century Gothic"/>
        </w:rPr>
      </w:pPr>
    </w:p>
    <w:p w14:paraId="5423E08A" w14:textId="1955693C" w:rsidR="00453E8E" w:rsidRDefault="00453E8E" w:rsidP="00EC4F23">
      <w:pPr>
        <w:rPr>
          <w:rFonts w:ascii="Century Gothic" w:hAnsi="Century Gothic"/>
        </w:rPr>
      </w:pPr>
    </w:p>
    <w:p w14:paraId="7CB2D093" w14:textId="72F896ED" w:rsidR="00453E8E" w:rsidRDefault="00453E8E" w:rsidP="00EC4F23">
      <w:pPr>
        <w:rPr>
          <w:rFonts w:ascii="Century Gothic" w:hAnsi="Century Gothic"/>
        </w:rPr>
      </w:pPr>
    </w:p>
    <w:p w14:paraId="45C3084B" w14:textId="66220B5F" w:rsidR="00453E8E" w:rsidRDefault="00453E8E" w:rsidP="00EC4F23">
      <w:pPr>
        <w:rPr>
          <w:rFonts w:ascii="Century Gothic" w:hAnsi="Century Gothic"/>
        </w:rPr>
      </w:pPr>
    </w:p>
    <w:p w14:paraId="431B2B74" w14:textId="045EE938" w:rsidR="00453E8E" w:rsidRDefault="00453E8E" w:rsidP="00EC4F23">
      <w:pPr>
        <w:rPr>
          <w:rFonts w:ascii="Century Gothic" w:hAnsi="Century Gothic"/>
        </w:rPr>
      </w:pPr>
    </w:p>
    <w:p w14:paraId="4825C849" w14:textId="6C81622C" w:rsidR="00453E8E" w:rsidRDefault="00453E8E" w:rsidP="00EC4F23">
      <w:pPr>
        <w:rPr>
          <w:rFonts w:ascii="Century Gothic" w:hAnsi="Century Gothic"/>
        </w:rPr>
      </w:pPr>
    </w:p>
    <w:p w14:paraId="3AA02107" w14:textId="77777777" w:rsidR="00453E8E" w:rsidRDefault="00453E8E" w:rsidP="00EC4F23">
      <w:pPr>
        <w:rPr>
          <w:rFonts w:ascii="Century Gothic" w:hAnsi="Century Gothic"/>
        </w:rPr>
      </w:pPr>
    </w:p>
    <w:p w14:paraId="1E67DC73" w14:textId="6A163FBB" w:rsidR="00453E8E" w:rsidRDefault="00453E8E" w:rsidP="00EC4F23">
      <w:pPr>
        <w:rPr>
          <w:rFonts w:ascii="Century Gothic" w:hAnsi="Century Gothic"/>
        </w:rPr>
      </w:pPr>
      <w:r>
        <w:rPr>
          <w:rFonts w:ascii="Century Gothic" w:hAnsi="Century Gothic"/>
          <w:noProof/>
          <w:lang w:eastAsia="fr-BE"/>
        </w:rPr>
        <mc:AlternateContent>
          <mc:Choice Requires="wps">
            <w:drawing>
              <wp:anchor distT="0" distB="0" distL="114300" distR="114300" simplePos="0" relativeHeight="251659264" behindDoc="0" locked="0" layoutInCell="1" allowOverlap="1" wp14:anchorId="7297E46A" wp14:editId="606F2904">
                <wp:simplePos x="0" y="0"/>
                <wp:positionH relativeFrom="column">
                  <wp:posOffset>128905</wp:posOffset>
                </wp:positionH>
                <wp:positionV relativeFrom="paragraph">
                  <wp:posOffset>80645</wp:posOffset>
                </wp:positionV>
                <wp:extent cx="5562600" cy="1962150"/>
                <wp:effectExtent l="76200" t="57150" r="76200" b="95250"/>
                <wp:wrapNone/>
                <wp:docPr id="9" name="Rectangle : coins arrondis 9"/>
                <wp:cNvGraphicFramePr/>
                <a:graphic xmlns:a="http://schemas.openxmlformats.org/drawingml/2006/main">
                  <a:graphicData uri="http://schemas.microsoft.com/office/word/2010/wordprocessingShape">
                    <wps:wsp>
                      <wps:cNvSpPr/>
                      <wps:spPr>
                        <a:xfrm>
                          <a:off x="0" y="0"/>
                          <a:ext cx="5562600" cy="1962150"/>
                        </a:xfrm>
                        <a:prstGeom prst="roundRect">
                          <a:avLst/>
                        </a:prstGeom>
                        <a:ln w="38100"/>
                      </wps:spPr>
                      <wps:style>
                        <a:lnRef idx="1">
                          <a:schemeClr val="accent1"/>
                        </a:lnRef>
                        <a:fillRef idx="2">
                          <a:schemeClr val="accent1"/>
                        </a:fillRef>
                        <a:effectRef idx="1">
                          <a:schemeClr val="accent1"/>
                        </a:effectRef>
                        <a:fontRef idx="minor">
                          <a:schemeClr val="dk1"/>
                        </a:fontRef>
                      </wps:style>
                      <wps:txbx>
                        <w:txbxContent>
                          <w:p w14:paraId="34DA9B70" w14:textId="4194C41E" w:rsidR="004215C5" w:rsidRPr="00453E8E" w:rsidRDefault="00906446" w:rsidP="00453E8E">
                            <w:pPr>
                              <w:jc w:val="center"/>
                              <w:rPr>
                                <w:rFonts w:ascii="Century Gothic" w:hAnsi="Century Gothic"/>
                                <w:b/>
                                <w:color w:val="365F91" w:themeColor="accent1" w:themeShade="BF"/>
                                <w:sz w:val="100"/>
                                <w:szCs w:val="100"/>
                              </w:rPr>
                            </w:pPr>
                            <w:r>
                              <w:rPr>
                                <w:rFonts w:ascii="Century Gothic" w:hAnsi="Century Gothic"/>
                                <w:b/>
                                <w:color w:val="365F91" w:themeColor="accent1" w:themeShade="BF"/>
                                <w:sz w:val="100"/>
                                <w:szCs w:val="100"/>
                              </w:rPr>
                              <w:t>AVANCES</w:t>
                            </w:r>
                          </w:p>
                          <w:p w14:paraId="66569E15" w14:textId="77777777" w:rsidR="004215C5" w:rsidRDefault="004215C5" w:rsidP="00453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97E46A" id="Rectangle : coins arrondis 9" o:spid="_x0000_s1026" style="position:absolute;margin-left:10.15pt;margin-top:6.35pt;width:438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" fillcolor="#a7bfde [1620]" strokecolor="#4579b8 [3044]" strokeweight="3pt">
                <v:fill color2="#e4ecf5 [500]" rotate="t" angle="180" colors="0 #a3c4ff;22938f #bfd5ff;1 #e5eeff" focus="100%" type="gradient"/>
                <v:shadow on="t" color="black" opacity="24903f" origin=",.5" offset="0,.55556mm"/>
                <v:textbox>
                  <w:txbxContent>
                    <w:p w14:paraId="34DA9B70" w14:textId="4194C41E" w:rsidR="004215C5" w:rsidRPr="00453E8E" w:rsidRDefault="00906446" w:rsidP="00453E8E">
                      <w:pPr>
                        <w:jc w:val="center"/>
                        <w:rPr>
                          <w:rFonts w:ascii="Century Gothic" w:hAnsi="Century Gothic"/>
                          <w:b/>
                          <w:color w:val="365F91" w:themeColor="accent1" w:themeShade="BF"/>
                          <w:sz w:val="100"/>
                          <w:szCs w:val="100"/>
                        </w:rPr>
                      </w:pPr>
                      <w:r>
                        <w:rPr>
                          <w:rFonts w:ascii="Century Gothic" w:hAnsi="Century Gothic"/>
                          <w:b/>
                          <w:color w:val="365F91" w:themeColor="accent1" w:themeShade="BF"/>
                          <w:sz w:val="100"/>
                          <w:szCs w:val="100"/>
                        </w:rPr>
                        <w:t>AVANCES</w:t>
                      </w:r>
                    </w:p>
                    <w:p w14:paraId="66569E15" w14:textId="77777777" w:rsidR="004215C5" w:rsidRDefault="004215C5" w:rsidP="00453E8E">
                      <w:pPr>
                        <w:jc w:val="center"/>
                      </w:pPr>
                    </w:p>
                  </w:txbxContent>
                </v:textbox>
              </v:roundrect>
            </w:pict>
          </mc:Fallback>
        </mc:AlternateContent>
      </w:r>
    </w:p>
    <w:p w14:paraId="182B957E" w14:textId="5B12D079" w:rsidR="00453E8E" w:rsidRDefault="00453E8E" w:rsidP="00EC4F23">
      <w:pPr>
        <w:rPr>
          <w:rFonts w:ascii="Century Gothic" w:hAnsi="Century Gothic"/>
        </w:rPr>
      </w:pPr>
    </w:p>
    <w:p w14:paraId="7BD499A8" w14:textId="2617AADC" w:rsidR="00453E8E" w:rsidRDefault="00453E8E" w:rsidP="00EC4F23">
      <w:pPr>
        <w:rPr>
          <w:rFonts w:ascii="Century Gothic" w:hAnsi="Century Gothic"/>
        </w:rPr>
      </w:pPr>
    </w:p>
    <w:p w14:paraId="750271E4" w14:textId="79D82BF7" w:rsidR="00453E8E" w:rsidRDefault="00453E8E" w:rsidP="00EC4F23">
      <w:pPr>
        <w:rPr>
          <w:rFonts w:ascii="Century Gothic" w:hAnsi="Century Gothic"/>
        </w:rPr>
      </w:pPr>
    </w:p>
    <w:p w14:paraId="751B918C" w14:textId="3DAB9A93" w:rsidR="00453E8E" w:rsidRDefault="00453E8E" w:rsidP="00EC4F23">
      <w:pPr>
        <w:rPr>
          <w:rFonts w:ascii="Century Gothic" w:hAnsi="Century Gothic"/>
        </w:rPr>
      </w:pPr>
    </w:p>
    <w:p w14:paraId="7B55D6D6" w14:textId="271FBCFD" w:rsidR="00453E8E" w:rsidRDefault="00453E8E" w:rsidP="00EC4F23">
      <w:pPr>
        <w:rPr>
          <w:rFonts w:ascii="Century Gothic" w:hAnsi="Century Gothic"/>
        </w:rPr>
      </w:pPr>
    </w:p>
    <w:p w14:paraId="3B359F53" w14:textId="7E7F666E" w:rsidR="00453E8E" w:rsidRDefault="00453E8E" w:rsidP="004359B5">
      <w:pPr>
        <w:tabs>
          <w:tab w:val="left" w:pos="1530"/>
        </w:tabs>
        <w:rPr>
          <w:rFonts w:ascii="Century Gothic" w:hAnsi="Century Gothic"/>
          <w:b/>
          <w:color w:val="365F91" w:themeColor="accent1" w:themeShade="BF"/>
          <w:sz w:val="90"/>
          <w:szCs w:val="90"/>
        </w:rPr>
      </w:pPr>
    </w:p>
    <w:p w14:paraId="788987D6" w14:textId="77777777" w:rsidR="004359B5" w:rsidRPr="00453E8E" w:rsidRDefault="004359B5" w:rsidP="004359B5">
      <w:pPr>
        <w:tabs>
          <w:tab w:val="left" w:pos="1530"/>
        </w:tabs>
        <w:rPr>
          <w:rFonts w:ascii="Century Gothic" w:hAnsi="Century Gothic"/>
          <w:b/>
          <w:color w:val="365F91" w:themeColor="accent1" w:themeShade="BF"/>
          <w:sz w:val="90"/>
          <w:szCs w:val="90"/>
        </w:rPr>
      </w:pPr>
    </w:p>
    <w:p w14:paraId="66AFD539" w14:textId="0293D1FD" w:rsidR="00453E8E" w:rsidRDefault="00453E8E" w:rsidP="00EC4F23">
      <w:pPr>
        <w:rPr>
          <w:rFonts w:ascii="Century Gothic" w:hAnsi="Century Gothic"/>
        </w:rPr>
      </w:pPr>
    </w:p>
    <w:p w14:paraId="7BEB880F" w14:textId="15CFADA7" w:rsidR="00453E8E" w:rsidRDefault="00453E8E" w:rsidP="00EC4F23">
      <w:pPr>
        <w:rPr>
          <w:rFonts w:ascii="Century Gothic" w:hAnsi="Century Gothic"/>
        </w:rPr>
      </w:pPr>
    </w:p>
    <w:p w14:paraId="5B458FFF" w14:textId="16B2098C" w:rsidR="00453E8E" w:rsidRDefault="00453E8E" w:rsidP="00EC4F23">
      <w:pPr>
        <w:rPr>
          <w:rFonts w:ascii="Century Gothic" w:hAnsi="Century Gothic"/>
        </w:rPr>
      </w:pPr>
    </w:p>
    <w:p w14:paraId="47250684" w14:textId="7277DACE" w:rsidR="00453E8E" w:rsidRDefault="00453E8E" w:rsidP="00EC4F23">
      <w:pPr>
        <w:rPr>
          <w:rFonts w:ascii="Century Gothic" w:hAnsi="Century Gothic"/>
        </w:rPr>
      </w:pPr>
    </w:p>
    <w:p w14:paraId="5A00D051" w14:textId="2C1FEAE0" w:rsidR="00453E8E" w:rsidRDefault="00453E8E" w:rsidP="00EC4F23">
      <w:pPr>
        <w:rPr>
          <w:rFonts w:ascii="Century Gothic" w:hAnsi="Century Gothic"/>
        </w:rPr>
      </w:pPr>
    </w:p>
    <w:p w14:paraId="5F826B57" w14:textId="77777777" w:rsidR="00453E8E" w:rsidRDefault="00453E8E" w:rsidP="00EC4F23">
      <w:pPr>
        <w:rPr>
          <w:rFonts w:ascii="Century Gothic" w:hAnsi="Century Gothic"/>
        </w:rPr>
      </w:pPr>
    </w:p>
    <w:p w14:paraId="1E286D27" w14:textId="0FF02B3E" w:rsidR="00453E8E" w:rsidRDefault="00453E8E" w:rsidP="00EC4F23">
      <w:pPr>
        <w:rPr>
          <w:rFonts w:ascii="Century Gothic" w:hAnsi="Century Gothic"/>
        </w:rPr>
      </w:pPr>
    </w:p>
    <w:p w14:paraId="0BC77E33" w14:textId="040506B9" w:rsidR="00F14F40" w:rsidRPr="004E7109" w:rsidRDefault="00F14F40" w:rsidP="004E7109">
      <w:pPr>
        <w:rPr>
          <w:rFonts w:ascii="Century Gothic" w:hAnsi="Century Gothic"/>
          <w:b/>
          <w:color w:val="365F91" w:themeColor="accent1" w:themeShade="BF"/>
          <w:sz w:val="21"/>
          <w:szCs w:val="21"/>
        </w:rPr>
      </w:pPr>
    </w:p>
    <w:sdt>
      <w:sdtPr>
        <w:rPr>
          <w:rFonts w:asciiTheme="minorHAnsi" w:eastAsiaTheme="minorHAnsi" w:hAnsiTheme="minorHAnsi" w:cstheme="minorBidi"/>
          <w:color w:val="auto"/>
          <w:sz w:val="22"/>
          <w:szCs w:val="22"/>
          <w:lang w:val="fr-FR" w:eastAsia="en-US"/>
        </w:rPr>
        <w:id w:val="-1422870804"/>
        <w:docPartObj>
          <w:docPartGallery w:val="Table of Contents"/>
          <w:docPartUnique/>
        </w:docPartObj>
      </w:sdtPr>
      <w:sdtEndPr>
        <w:rPr>
          <w:b/>
          <w:bCs/>
        </w:rPr>
      </w:sdtEndPr>
      <w:sdtContent>
        <w:p w14:paraId="7F4115FB" w14:textId="07645EA8" w:rsidR="00F14F40" w:rsidRDefault="00F14F40">
          <w:pPr>
            <w:pStyle w:val="En-ttedetabledesmatires"/>
          </w:pPr>
          <w:r>
            <w:rPr>
              <w:lang w:val="fr-FR"/>
            </w:rPr>
            <w:t>Table des matières</w:t>
          </w:r>
        </w:p>
        <w:p w14:paraId="18CD3D2E" w14:textId="26154B73" w:rsidR="0053495C" w:rsidRPr="0053495C" w:rsidRDefault="00F14F40">
          <w:pPr>
            <w:pStyle w:val="TM1"/>
            <w:tabs>
              <w:tab w:val="left" w:pos="440"/>
              <w:tab w:val="right" w:leader="dot" w:pos="9062"/>
            </w:tabs>
            <w:rPr>
              <w:rFonts w:ascii="Century Gothic" w:eastAsiaTheme="minorEastAsia" w:hAnsi="Century Gothic"/>
              <w:noProof/>
              <w:sz w:val="21"/>
              <w:szCs w:val="21"/>
              <w:lang w:eastAsia="fr-BE"/>
            </w:rPr>
          </w:pPr>
          <w:r w:rsidRPr="0053495C">
            <w:rPr>
              <w:rFonts w:ascii="Century Gothic" w:hAnsi="Century Gothic"/>
              <w:sz w:val="21"/>
              <w:szCs w:val="21"/>
            </w:rPr>
            <w:fldChar w:fldCharType="begin"/>
          </w:r>
          <w:r w:rsidRPr="0053495C">
            <w:rPr>
              <w:rFonts w:ascii="Century Gothic" w:hAnsi="Century Gothic"/>
              <w:sz w:val="21"/>
              <w:szCs w:val="21"/>
            </w:rPr>
            <w:instrText xml:space="preserve"> TOC \o "1-3" \h \z \u </w:instrText>
          </w:r>
          <w:r w:rsidRPr="0053495C">
            <w:rPr>
              <w:rFonts w:ascii="Century Gothic" w:hAnsi="Century Gothic"/>
              <w:sz w:val="21"/>
              <w:szCs w:val="21"/>
            </w:rPr>
            <w:fldChar w:fldCharType="separate"/>
          </w:r>
          <w:hyperlink w:anchor="_Toc118991718" w:history="1">
            <w:r w:rsidR="0053495C" w:rsidRPr="0053495C">
              <w:rPr>
                <w:rStyle w:val="Lienhypertexte"/>
                <w:rFonts w:ascii="Century Gothic" w:eastAsia="Times New Roman" w:hAnsi="Century Gothic"/>
                <w:noProof/>
                <w:sz w:val="21"/>
                <w:szCs w:val="21"/>
              </w:rPr>
              <w:t>1.</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eastAsia="Times New Roman" w:hAnsi="Century Gothic"/>
                <w:noProof/>
                <w:sz w:val="21"/>
                <w:szCs w:val="21"/>
              </w:rPr>
              <w:t>La notion d’avance</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_Toc118991718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3</w:t>
            </w:r>
            <w:r w:rsidR="0053495C" w:rsidRPr="0053495C">
              <w:rPr>
                <w:rFonts w:ascii="Century Gothic" w:hAnsi="Century Gothic"/>
                <w:noProof/>
                <w:webHidden/>
                <w:sz w:val="21"/>
                <w:szCs w:val="21"/>
              </w:rPr>
              <w:fldChar w:fldCharType="end"/>
            </w:r>
          </w:hyperlink>
        </w:p>
        <w:p w14:paraId="14B0C516" w14:textId="2720D7D3" w:rsidR="0053495C" w:rsidRPr="0053495C" w:rsidRDefault="00EA0F8A">
          <w:pPr>
            <w:pStyle w:val="TM2"/>
            <w:rPr>
              <w:rFonts w:ascii="Century Gothic" w:eastAsiaTheme="minorEastAsia" w:hAnsi="Century Gothic"/>
              <w:noProof/>
              <w:sz w:val="21"/>
              <w:szCs w:val="21"/>
              <w:lang w:eastAsia="fr-BE"/>
            </w:rPr>
          </w:pPr>
          <w:hyperlink w:anchor="_Toc118991719" w:history="1">
            <w:r w:rsidR="0053495C" w:rsidRPr="0053495C">
              <w:rPr>
                <w:rStyle w:val="Lienhypertexte"/>
                <w:rFonts w:ascii="Century Gothic" w:eastAsia="Times New Roman" w:hAnsi="Century Gothic"/>
                <w:noProof/>
                <w:sz w:val="21"/>
                <w:szCs w:val="21"/>
                <w:lang w:val="fr-FR" w:eastAsia="fr-FR"/>
              </w:rPr>
              <w:t>1.1.</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eastAsia="Times New Roman" w:hAnsi="Century Gothic"/>
                <w:noProof/>
                <w:sz w:val="21"/>
                <w:szCs w:val="21"/>
                <w:lang w:val="fr-FR" w:eastAsia="fr-FR"/>
              </w:rPr>
              <w:t>Qu’est-ce qu’une avance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_Toc118991719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3</w:t>
            </w:r>
            <w:r w:rsidR="0053495C" w:rsidRPr="0053495C">
              <w:rPr>
                <w:rFonts w:ascii="Century Gothic" w:hAnsi="Century Gothic"/>
                <w:noProof/>
                <w:webHidden/>
                <w:sz w:val="21"/>
                <w:szCs w:val="21"/>
              </w:rPr>
              <w:fldChar w:fldCharType="end"/>
            </w:r>
          </w:hyperlink>
        </w:p>
        <w:p w14:paraId="5C859962" w14:textId="513F06A9" w:rsidR="0053495C" w:rsidRPr="0053495C" w:rsidRDefault="00EA0F8A">
          <w:pPr>
            <w:pStyle w:val="TM2"/>
            <w:rPr>
              <w:rFonts w:ascii="Century Gothic" w:eastAsiaTheme="minorEastAsia" w:hAnsi="Century Gothic"/>
              <w:noProof/>
              <w:sz w:val="21"/>
              <w:szCs w:val="21"/>
              <w:lang w:eastAsia="fr-BE"/>
            </w:rPr>
          </w:pPr>
          <w:hyperlink w:anchor="_Toc118991720" w:history="1">
            <w:r w:rsidR="0053495C" w:rsidRPr="0053495C">
              <w:rPr>
                <w:rStyle w:val="Lienhypertexte"/>
                <w:rFonts w:ascii="Century Gothic" w:hAnsi="Century Gothic"/>
                <w:noProof/>
                <w:sz w:val="21"/>
                <w:szCs w:val="21"/>
              </w:rPr>
              <w:t>1.2.</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noProof/>
                <w:sz w:val="21"/>
                <w:szCs w:val="21"/>
              </w:rPr>
              <w:t>Est-ce contradictoire avec le principe du paiement sur service fait et accepté?</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_Toc118991720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3</w:t>
            </w:r>
            <w:r w:rsidR="0053495C" w:rsidRPr="0053495C">
              <w:rPr>
                <w:rFonts w:ascii="Century Gothic" w:hAnsi="Century Gothic"/>
                <w:noProof/>
                <w:webHidden/>
                <w:sz w:val="21"/>
                <w:szCs w:val="21"/>
              </w:rPr>
              <w:fldChar w:fldCharType="end"/>
            </w:r>
          </w:hyperlink>
        </w:p>
        <w:p w14:paraId="0C5A2DE1" w14:textId="403770AB" w:rsidR="0053495C" w:rsidRPr="0053495C" w:rsidRDefault="00EA0F8A">
          <w:pPr>
            <w:pStyle w:val="TM2"/>
            <w:rPr>
              <w:rFonts w:ascii="Century Gothic" w:eastAsiaTheme="minorEastAsia" w:hAnsi="Century Gothic"/>
              <w:noProof/>
              <w:sz w:val="21"/>
              <w:szCs w:val="21"/>
              <w:lang w:eastAsia="fr-BE"/>
            </w:rPr>
          </w:pPr>
          <w:hyperlink w:anchor="_Toc118991721" w:history="1">
            <w:r w:rsidR="0053495C" w:rsidRPr="0053495C">
              <w:rPr>
                <w:rStyle w:val="Lienhypertexte"/>
                <w:rFonts w:ascii="Century Gothic" w:hAnsi="Century Gothic"/>
                <w:noProof/>
                <w:sz w:val="21"/>
                <w:szCs w:val="21"/>
              </w:rPr>
              <w:t>1.3.</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noProof/>
                <w:sz w:val="21"/>
                <w:szCs w:val="21"/>
              </w:rPr>
              <w:t>En quoi l’avance se distingue-t-elle de l’acompte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_Toc118991721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3</w:t>
            </w:r>
            <w:r w:rsidR="0053495C" w:rsidRPr="0053495C">
              <w:rPr>
                <w:rFonts w:ascii="Century Gothic" w:hAnsi="Century Gothic"/>
                <w:noProof/>
                <w:webHidden/>
                <w:sz w:val="21"/>
                <w:szCs w:val="21"/>
              </w:rPr>
              <w:fldChar w:fldCharType="end"/>
            </w:r>
          </w:hyperlink>
        </w:p>
        <w:p w14:paraId="7A9ECC14" w14:textId="0185BCDC" w:rsidR="0053495C" w:rsidRPr="0053495C" w:rsidRDefault="00EA0F8A">
          <w:pPr>
            <w:pStyle w:val="TM1"/>
            <w:tabs>
              <w:tab w:val="left" w:pos="440"/>
              <w:tab w:val="right" w:leader="dot" w:pos="9062"/>
            </w:tabs>
            <w:rPr>
              <w:rFonts w:ascii="Century Gothic" w:eastAsiaTheme="minorEastAsia" w:hAnsi="Century Gothic"/>
              <w:noProof/>
              <w:sz w:val="21"/>
              <w:szCs w:val="21"/>
              <w:lang w:eastAsia="fr-BE"/>
            </w:rPr>
          </w:pPr>
          <w:hyperlink w:anchor="_Toc118991722" w:history="1">
            <w:r w:rsidR="0053495C" w:rsidRPr="0053495C">
              <w:rPr>
                <w:rStyle w:val="Lienhypertexte"/>
                <w:rFonts w:ascii="Century Gothic" w:hAnsi="Century Gothic"/>
                <w:noProof/>
                <w:sz w:val="21"/>
                <w:szCs w:val="21"/>
                <w:lang w:val="fr-FR" w:eastAsia="fr-FR"/>
              </w:rPr>
              <w:t>2.</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eastAsia="Times New Roman" w:hAnsi="Century Gothic"/>
                <w:noProof/>
                <w:sz w:val="21"/>
                <w:szCs w:val="21"/>
                <w:lang w:val="fr-FR" w:eastAsia="fr-FR"/>
              </w:rPr>
              <w:t>L’octroi des avances</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_Toc118991722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4</w:t>
            </w:r>
            <w:r w:rsidR="0053495C" w:rsidRPr="0053495C">
              <w:rPr>
                <w:rFonts w:ascii="Century Gothic" w:hAnsi="Century Gothic"/>
                <w:noProof/>
                <w:webHidden/>
                <w:sz w:val="21"/>
                <w:szCs w:val="21"/>
              </w:rPr>
              <w:fldChar w:fldCharType="end"/>
            </w:r>
          </w:hyperlink>
        </w:p>
        <w:p w14:paraId="39081613" w14:textId="4E388BDC" w:rsidR="0053495C" w:rsidRPr="0053495C" w:rsidRDefault="00EA0F8A">
          <w:pPr>
            <w:pStyle w:val="TM2"/>
            <w:rPr>
              <w:rFonts w:ascii="Century Gothic" w:eastAsiaTheme="minorEastAsia" w:hAnsi="Century Gothic"/>
              <w:noProof/>
              <w:sz w:val="21"/>
              <w:szCs w:val="21"/>
              <w:lang w:eastAsia="fr-BE"/>
            </w:rPr>
          </w:pPr>
          <w:hyperlink w:anchor="_Toc118991723" w:history="1">
            <w:r w:rsidR="0053495C" w:rsidRPr="0053495C">
              <w:rPr>
                <w:rStyle w:val="Lienhypertexte"/>
                <w:rFonts w:ascii="Century Gothic" w:hAnsi="Century Gothic"/>
                <w:noProof/>
                <w:sz w:val="21"/>
                <w:szCs w:val="21"/>
              </w:rPr>
              <w:t>2.1.</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noProof/>
                <w:sz w:val="21"/>
                <w:szCs w:val="21"/>
              </w:rPr>
              <w:t>Dans quels cas peut-on verser une avance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_Toc118991723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4</w:t>
            </w:r>
            <w:r w:rsidR="0053495C" w:rsidRPr="0053495C">
              <w:rPr>
                <w:rFonts w:ascii="Century Gothic" w:hAnsi="Century Gothic"/>
                <w:noProof/>
                <w:webHidden/>
                <w:sz w:val="21"/>
                <w:szCs w:val="21"/>
              </w:rPr>
              <w:fldChar w:fldCharType="end"/>
            </w:r>
          </w:hyperlink>
        </w:p>
        <w:p w14:paraId="0643A5A8" w14:textId="603CC865" w:rsidR="0053495C" w:rsidRPr="0053495C" w:rsidRDefault="00EA0F8A">
          <w:pPr>
            <w:pStyle w:val="TM2"/>
            <w:rPr>
              <w:rFonts w:ascii="Century Gothic" w:eastAsiaTheme="minorEastAsia" w:hAnsi="Century Gothic"/>
              <w:noProof/>
              <w:sz w:val="21"/>
              <w:szCs w:val="21"/>
              <w:lang w:eastAsia="fr-BE"/>
            </w:rPr>
          </w:pPr>
          <w:hyperlink w:anchor="_Toc118991724" w:history="1">
            <w:r w:rsidR="0053495C" w:rsidRPr="0053495C">
              <w:rPr>
                <w:rStyle w:val="Lienhypertexte"/>
                <w:rFonts w:ascii="Century Gothic" w:hAnsi="Century Gothic"/>
                <w:noProof/>
                <w:sz w:val="21"/>
                <w:szCs w:val="21"/>
              </w:rPr>
              <w:t>2.2.</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noProof/>
                <w:sz w:val="21"/>
                <w:szCs w:val="21"/>
              </w:rPr>
              <w:t>Le montant des avances est-il limité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_Toc118991724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5</w:t>
            </w:r>
            <w:r w:rsidR="0053495C" w:rsidRPr="0053495C">
              <w:rPr>
                <w:rFonts w:ascii="Century Gothic" w:hAnsi="Century Gothic"/>
                <w:noProof/>
                <w:webHidden/>
                <w:sz w:val="21"/>
                <w:szCs w:val="21"/>
              </w:rPr>
              <w:fldChar w:fldCharType="end"/>
            </w:r>
          </w:hyperlink>
        </w:p>
        <w:p w14:paraId="6C36CDD5" w14:textId="1E2DD957" w:rsidR="0053495C" w:rsidRPr="0053495C" w:rsidRDefault="00EA0F8A">
          <w:pPr>
            <w:pStyle w:val="TM2"/>
            <w:rPr>
              <w:rFonts w:ascii="Century Gothic" w:eastAsiaTheme="minorEastAsia" w:hAnsi="Century Gothic"/>
              <w:noProof/>
              <w:sz w:val="21"/>
              <w:szCs w:val="21"/>
              <w:lang w:eastAsia="fr-BE"/>
            </w:rPr>
          </w:pPr>
          <w:hyperlink w:anchor="_Toc118991725" w:history="1">
            <w:r w:rsidR="0053495C" w:rsidRPr="0053495C">
              <w:rPr>
                <w:rStyle w:val="Lienhypertexte"/>
                <w:rFonts w:ascii="Century Gothic" w:hAnsi="Century Gothic"/>
                <w:bCs/>
                <w:noProof/>
                <w:sz w:val="21"/>
                <w:szCs w:val="21"/>
              </w:rPr>
              <w:t>2.3.</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bCs/>
                <w:noProof/>
                <w:sz w:val="21"/>
                <w:szCs w:val="21"/>
              </w:rPr>
              <w:t>Quelles sont les modalités concrètes d’application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_Toc118991725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5</w:t>
            </w:r>
            <w:r w:rsidR="0053495C" w:rsidRPr="0053495C">
              <w:rPr>
                <w:rFonts w:ascii="Century Gothic" w:hAnsi="Century Gothic"/>
                <w:noProof/>
                <w:webHidden/>
                <w:sz w:val="21"/>
                <w:szCs w:val="21"/>
              </w:rPr>
              <w:fldChar w:fldCharType="end"/>
            </w:r>
          </w:hyperlink>
        </w:p>
        <w:p w14:paraId="0D83603D" w14:textId="2C17166E" w:rsidR="0053495C" w:rsidRPr="0053495C" w:rsidRDefault="00EA0F8A">
          <w:pPr>
            <w:pStyle w:val="TM2"/>
            <w:rPr>
              <w:rFonts w:ascii="Century Gothic" w:eastAsiaTheme="minorEastAsia" w:hAnsi="Century Gothic"/>
              <w:noProof/>
              <w:sz w:val="21"/>
              <w:szCs w:val="21"/>
              <w:lang w:eastAsia="fr-BE"/>
            </w:rPr>
          </w:pPr>
          <w:hyperlink w:anchor="_Toc118991726" w:history="1">
            <w:r w:rsidR="0053495C" w:rsidRPr="0053495C">
              <w:rPr>
                <w:rStyle w:val="Lienhypertexte"/>
                <w:rFonts w:ascii="Century Gothic" w:hAnsi="Century Gothic"/>
                <w:bCs/>
                <w:noProof/>
                <w:sz w:val="21"/>
                <w:szCs w:val="21"/>
              </w:rPr>
              <w:t>2.4.</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hAnsi="Century Gothic"/>
                <w:bCs/>
                <w:noProof/>
                <w:sz w:val="21"/>
                <w:szCs w:val="21"/>
              </w:rPr>
              <w:t>Quid en cas de marché public de faible montant ?</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_Toc118991726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5</w:t>
            </w:r>
            <w:r w:rsidR="0053495C" w:rsidRPr="0053495C">
              <w:rPr>
                <w:rFonts w:ascii="Century Gothic" w:hAnsi="Century Gothic"/>
                <w:noProof/>
                <w:webHidden/>
                <w:sz w:val="21"/>
                <w:szCs w:val="21"/>
              </w:rPr>
              <w:fldChar w:fldCharType="end"/>
            </w:r>
          </w:hyperlink>
        </w:p>
        <w:p w14:paraId="040FC161" w14:textId="6A7BDE50" w:rsidR="0053495C" w:rsidRPr="0053495C" w:rsidRDefault="00EA0F8A">
          <w:pPr>
            <w:pStyle w:val="TM1"/>
            <w:tabs>
              <w:tab w:val="left" w:pos="440"/>
              <w:tab w:val="right" w:leader="dot" w:pos="9062"/>
            </w:tabs>
            <w:rPr>
              <w:rFonts w:ascii="Century Gothic" w:eastAsiaTheme="minorEastAsia" w:hAnsi="Century Gothic"/>
              <w:noProof/>
              <w:sz w:val="21"/>
              <w:szCs w:val="21"/>
              <w:lang w:eastAsia="fr-BE"/>
            </w:rPr>
          </w:pPr>
          <w:hyperlink w:anchor="_Toc118991727" w:history="1">
            <w:r w:rsidR="0053495C" w:rsidRPr="0053495C">
              <w:rPr>
                <w:rStyle w:val="Lienhypertexte"/>
                <w:rFonts w:ascii="Century Gothic" w:eastAsia="Times New Roman" w:hAnsi="Century Gothic" w:cs="Calibri"/>
                <w:bCs/>
                <w:noProof/>
                <w:sz w:val="21"/>
                <w:szCs w:val="21"/>
                <w:lang w:eastAsia="fr-BE"/>
              </w:rPr>
              <w:t>3.</w:t>
            </w:r>
            <w:r w:rsidR="0053495C" w:rsidRPr="0053495C">
              <w:rPr>
                <w:rFonts w:ascii="Century Gothic" w:eastAsiaTheme="minorEastAsia" w:hAnsi="Century Gothic"/>
                <w:noProof/>
                <w:sz w:val="21"/>
                <w:szCs w:val="21"/>
                <w:lang w:eastAsia="fr-BE"/>
              </w:rPr>
              <w:tab/>
            </w:r>
            <w:r w:rsidR="0053495C" w:rsidRPr="0053495C">
              <w:rPr>
                <w:rStyle w:val="Lienhypertexte"/>
                <w:rFonts w:ascii="Century Gothic" w:eastAsia="Times New Roman" w:hAnsi="Century Gothic" w:cs="Calibri"/>
                <w:bCs/>
                <w:noProof/>
                <w:sz w:val="21"/>
                <w:szCs w:val="21"/>
                <w:lang w:eastAsia="fr-BE"/>
              </w:rPr>
              <w:t>L’octroi temporaire d’avances dans le contexte de la fluctuation des prix liée à la guerre en Ukraine</w:t>
            </w:r>
            <w:r w:rsidR="0053495C" w:rsidRPr="0053495C">
              <w:rPr>
                <w:rFonts w:ascii="Century Gothic" w:hAnsi="Century Gothic"/>
                <w:noProof/>
                <w:webHidden/>
                <w:sz w:val="21"/>
                <w:szCs w:val="21"/>
              </w:rPr>
              <w:tab/>
            </w:r>
            <w:r w:rsidR="0053495C" w:rsidRPr="0053495C">
              <w:rPr>
                <w:rFonts w:ascii="Century Gothic" w:hAnsi="Century Gothic"/>
                <w:noProof/>
                <w:webHidden/>
                <w:sz w:val="21"/>
                <w:szCs w:val="21"/>
              </w:rPr>
              <w:fldChar w:fldCharType="begin"/>
            </w:r>
            <w:r w:rsidR="0053495C" w:rsidRPr="0053495C">
              <w:rPr>
                <w:rFonts w:ascii="Century Gothic" w:hAnsi="Century Gothic"/>
                <w:noProof/>
                <w:webHidden/>
                <w:sz w:val="21"/>
                <w:szCs w:val="21"/>
              </w:rPr>
              <w:instrText xml:space="preserve"> PAGEREF _Toc118991727 \h </w:instrText>
            </w:r>
            <w:r w:rsidR="0053495C" w:rsidRPr="0053495C">
              <w:rPr>
                <w:rFonts w:ascii="Century Gothic" w:hAnsi="Century Gothic"/>
                <w:noProof/>
                <w:webHidden/>
                <w:sz w:val="21"/>
                <w:szCs w:val="21"/>
              </w:rPr>
            </w:r>
            <w:r w:rsidR="0053495C" w:rsidRPr="0053495C">
              <w:rPr>
                <w:rFonts w:ascii="Century Gothic" w:hAnsi="Century Gothic"/>
                <w:noProof/>
                <w:webHidden/>
                <w:sz w:val="21"/>
                <w:szCs w:val="21"/>
              </w:rPr>
              <w:fldChar w:fldCharType="separate"/>
            </w:r>
            <w:r w:rsidR="0053495C" w:rsidRPr="0053495C">
              <w:rPr>
                <w:rFonts w:ascii="Century Gothic" w:hAnsi="Century Gothic"/>
                <w:noProof/>
                <w:webHidden/>
                <w:sz w:val="21"/>
                <w:szCs w:val="21"/>
              </w:rPr>
              <w:t>6</w:t>
            </w:r>
            <w:r w:rsidR="0053495C" w:rsidRPr="0053495C">
              <w:rPr>
                <w:rFonts w:ascii="Century Gothic" w:hAnsi="Century Gothic"/>
                <w:noProof/>
                <w:webHidden/>
                <w:sz w:val="21"/>
                <w:szCs w:val="21"/>
              </w:rPr>
              <w:fldChar w:fldCharType="end"/>
            </w:r>
          </w:hyperlink>
        </w:p>
        <w:p w14:paraId="7EF54BDF" w14:textId="6B7A6912" w:rsidR="00F14F40" w:rsidRDefault="00F14F40">
          <w:r w:rsidRPr="0053495C">
            <w:rPr>
              <w:rFonts w:ascii="Century Gothic" w:hAnsi="Century Gothic"/>
              <w:b/>
              <w:bCs/>
              <w:sz w:val="21"/>
              <w:szCs w:val="21"/>
              <w:lang w:val="fr-FR"/>
            </w:rPr>
            <w:fldChar w:fldCharType="end"/>
          </w:r>
        </w:p>
      </w:sdtContent>
    </w:sdt>
    <w:p w14:paraId="5676DE14" w14:textId="3DD0BBF5" w:rsidR="00C01B7C" w:rsidRPr="003B799E" w:rsidRDefault="00C01B7C" w:rsidP="004E7109">
      <w:pPr>
        <w:pStyle w:val="TM2"/>
        <w:rPr>
          <w:noProof/>
          <w:lang w:eastAsia="fr-BE"/>
        </w:rPr>
      </w:pPr>
    </w:p>
    <w:p w14:paraId="00A74FF8" w14:textId="1B616050" w:rsidR="00C01B7C" w:rsidRPr="00C01B7C" w:rsidRDefault="00C01B7C" w:rsidP="008D400B">
      <w:pPr>
        <w:pStyle w:val="TM3"/>
        <w:tabs>
          <w:tab w:val="left" w:pos="1320"/>
          <w:tab w:val="right" w:leader="dot" w:pos="9062"/>
        </w:tabs>
        <w:ind w:left="0"/>
        <w:rPr>
          <w:rFonts w:ascii="Century Gothic" w:eastAsiaTheme="minorEastAsia" w:hAnsi="Century Gothic"/>
          <w:noProof/>
          <w:sz w:val="21"/>
          <w:szCs w:val="21"/>
          <w:lang w:eastAsia="fr-BE"/>
        </w:rPr>
      </w:pPr>
    </w:p>
    <w:p w14:paraId="12C5C36F" w14:textId="33A3ACE8" w:rsidR="002D101B" w:rsidRDefault="002D101B" w:rsidP="00EC4F23">
      <w:pPr>
        <w:rPr>
          <w:rFonts w:ascii="Century Gothic" w:hAnsi="Century Gothic"/>
          <w:sz w:val="21"/>
          <w:szCs w:val="21"/>
        </w:rPr>
      </w:pPr>
    </w:p>
    <w:p w14:paraId="3CFAAEFA" w14:textId="0D7FB3C3" w:rsidR="00094052" w:rsidRDefault="00094052" w:rsidP="00EC4F23">
      <w:pPr>
        <w:rPr>
          <w:rFonts w:ascii="Century Gothic" w:hAnsi="Century Gothic"/>
          <w:sz w:val="21"/>
          <w:szCs w:val="21"/>
        </w:rPr>
      </w:pPr>
    </w:p>
    <w:p w14:paraId="7720097E" w14:textId="1D3E8379" w:rsidR="00AA3A27" w:rsidRDefault="00AA3A27" w:rsidP="00EC4F23">
      <w:pPr>
        <w:rPr>
          <w:rFonts w:ascii="Century Gothic" w:hAnsi="Century Gothic"/>
          <w:sz w:val="21"/>
          <w:szCs w:val="21"/>
        </w:rPr>
      </w:pPr>
    </w:p>
    <w:p w14:paraId="02468158" w14:textId="35A1B761" w:rsidR="00AA3A27" w:rsidRDefault="00AA3A27" w:rsidP="00EC4F23">
      <w:pPr>
        <w:rPr>
          <w:rFonts w:ascii="Century Gothic" w:hAnsi="Century Gothic"/>
          <w:sz w:val="21"/>
          <w:szCs w:val="21"/>
        </w:rPr>
      </w:pPr>
    </w:p>
    <w:p w14:paraId="1804C92D" w14:textId="1C256BE2" w:rsidR="00C01B7C" w:rsidRDefault="00C01B7C" w:rsidP="00EC4F23">
      <w:pPr>
        <w:rPr>
          <w:rFonts w:ascii="Century Gothic" w:hAnsi="Century Gothic"/>
          <w:sz w:val="21"/>
          <w:szCs w:val="21"/>
        </w:rPr>
      </w:pPr>
    </w:p>
    <w:p w14:paraId="62A87885" w14:textId="77777777" w:rsidR="00E75F88" w:rsidRDefault="00E75F88" w:rsidP="00EC4F23">
      <w:pPr>
        <w:rPr>
          <w:rFonts w:ascii="Century Gothic" w:hAnsi="Century Gothic"/>
          <w:sz w:val="21"/>
          <w:szCs w:val="21"/>
        </w:rPr>
      </w:pPr>
    </w:p>
    <w:p w14:paraId="2FCA4715" w14:textId="2E335BB0" w:rsidR="00C01B7C" w:rsidRDefault="00C01B7C" w:rsidP="00EC4F23">
      <w:pPr>
        <w:rPr>
          <w:rFonts w:ascii="Century Gothic" w:hAnsi="Century Gothic"/>
          <w:sz w:val="21"/>
          <w:szCs w:val="21"/>
        </w:rPr>
      </w:pPr>
    </w:p>
    <w:p w14:paraId="03512CD5" w14:textId="5C319C34" w:rsidR="00D0496A" w:rsidRDefault="00D0496A" w:rsidP="00EC4F23">
      <w:pPr>
        <w:rPr>
          <w:rFonts w:ascii="Century Gothic" w:hAnsi="Century Gothic"/>
          <w:sz w:val="21"/>
          <w:szCs w:val="21"/>
        </w:rPr>
      </w:pPr>
    </w:p>
    <w:p w14:paraId="764252E7" w14:textId="69735ADB" w:rsidR="00D0496A" w:rsidRDefault="00D0496A" w:rsidP="00EC4F23">
      <w:pPr>
        <w:rPr>
          <w:rFonts w:ascii="Century Gothic" w:hAnsi="Century Gothic"/>
          <w:sz w:val="21"/>
          <w:szCs w:val="21"/>
        </w:rPr>
      </w:pPr>
    </w:p>
    <w:p w14:paraId="097175FA" w14:textId="60C7B94E" w:rsidR="00D0496A" w:rsidRDefault="00D0496A" w:rsidP="00EC4F23">
      <w:pPr>
        <w:rPr>
          <w:rFonts w:ascii="Century Gothic" w:hAnsi="Century Gothic"/>
          <w:sz w:val="21"/>
          <w:szCs w:val="21"/>
        </w:rPr>
      </w:pPr>
    </w:p>
    <w:p w14:paraId="691CDC18" w14:textId="5F366163" w:rsidR="00D0496A" w:rsidRDefault="00D0496A" w:rsidP="00EC4F23">
      <w:pPr>
        <w:rPr>
          <w:rFonts w:ascii="Century Gothic" w:hAnsi="Century Gothic"/>
          <w:sz w:val="21"/>
          <w:szCs w:val="21"/>
        </w:rPr>
      </w:pPr>
    </w:p>
    <w:p w14:paraId="4442FDF6" w14:textId="5915AEE4" w:rsidR="00C8092E" w:rsidRDefault="00C8092E" w:rsidP="00EC4F23">
      <w:pPr>
        <w:rPr>
          <w:rFonts w:ascii="Century Gothic" w:hAnsi="Century Gothic"/>
          <w:sz w:val="21"/>
          <w:szCs w:val="21"/>
        </w:rPr>
      </w:pPr>
    </w:p>
    <w:p w14:paraId="2FE34994" w14:textId="3D8A8A0F" w:rsidR="00C8092E" w:rsidRDefault="00C8092E" w:rsidP="00EC4F23">
      <w:pPr>
        <w:rPr>
          <w:rFonts w:ascii="Century Gothic" w:hAnsi="Century Gothic"/>
          <w:sz w:val="21"/>
          <w:szCs w:val="21"/>
        </w:rPr>
      </w:pPr>
    </w:p>
    <w:p w14:paraId="06DF2C62" w14:textId="77777777" w:rsidR="00C8092E" w:rsidRDefault="00C8092E" w:rsidP="00EC4F23">
      <w:pPr>
        <w:rPr>
          <w:rFonts w:ascii="Century Gothic" w:hAnsi="Century Gothic"/>
          <w:sz w:val="21"/>
          <w:szCs w:val="21"/>
        </w:rPr>
      </w:pPr>
    </w:p>
    <w:p w14:paraId="60498A00" w14:textId="00400DC0" w:rsidR="00D0496A" w:rsidRDefault="00D0496A" w:rsidP="00EC4F23">
      <w:pPr>
        <w:rPr>
          <w:rFonts w:ascii="Century Gothic" w:hAnsi="Century Gothic"/>
          <w:sz w:val="21"/>
          <w:szCs w:val="21"/>
        </w:rPr>
      </w:pPr>
    </w:p>
    <w:p w14:paraId="345C39DF" w14:textId="77777777" w:rsidR="00D0496A" w:rsidRDefault="00D0496A" w:rsidP="00EC4F23">
      <w:pPr>
        <w:rPr>
          <w:rFonts w:ascii="Century Gothic" w:hAnsi="Century Gothic"/>
          <w:sz w:val="21"/>
          <w:szCs w:val="21"/>
        </w:rPr>
      </w:pPr>
    </w:p>
    <w:p w14:paraId="3C7A705C" w14:textId="77777777" w:rsidR="00C01B7C" w:rsidRDefault="00C01B7C" w:rsidP="00EC4F23">
      <w:pPr>
        <w:rPr>
          <w:rFonts w:ascii="Century Gothic" w:hAnsi="Century Gothic"/>
          <w:sz w:val="21"/>
          <w:szCs w:val="21"/>
        </w:rPr>
      </w:pPr>
    </w:p>
    <w:tbl>
      <w:tblPr>
        <w:tblStyle w:val="TableauGrille6Couleur-Accentuation1"/>
        <w:tblW w:w="0" w:type="auto"/>
        <w:tblLook w:val="04A0" w:firstRow="1" w:lastRow="0" w:firstColumn="1" w:lastColumn="0" w:noHBand="0" w:noVBand="1"/>
      </w:tblPr>
      <w:tblGrid>
        <w:gridCol w:w="9062"/>
      </w:tblGrid>
      <w:tr w:rsidR="002D101B" w14:paraId="2E4C597F" w14:textId="77777777" w:rsidTr="002D1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20E3BD9" w14:textId="371ABDB6" w:rsidR="00B67F22" w:rsidRPr="00B67F22" w:rsidRDefault="002D101B" w:rsidP="0061122B">
            <w:pPr>
              <w:spacing w:line="276" w:lineRule="auto"/>
              <w:jc w:val="both"/>
              <w:rPr>
                <w:rFonts w:ascii="Century Gothic" w:hAnsi="Century Gothic"/>
                <w:bCs w:val="0"/>
                <w:color w:val="000000" w:themeColor="text1"/>
                <w:sz w:val="21"/>
                <w:szCs w:val="21"/>
              </w:rPr>
            </w:pPr>
            <w:r w:rsidRPr="002D101B">
              <w:rPr>
                <w:rFonts w:ascii="Century Gothic" w:hAnsi="Century Gothic"/>
                <w:color w:val="000000" w:themeColor="text1"/>
                <w:sz w:val="21"/>
                <w:szCs w:val="21"/>
                <w:u w:val="single"/>
              </w:rPr>
              <w:t>Règlementation pertinente</w:t>
            </w:r>
            <w:r w:rsidRPr="002D101B">
              <w:rPr>
                <w:rFonts w:ascii="Century Gothic" w:hAnsi="Century Gothic"/>
                <w:b w:val="0"/>
                <w:color w:val="000000" w:themeColor="text1"/>
                <w:sz w:val="21"/>
                <w:szCs w:val="21"/>
              </w:rPr>
              <w:t xml:space="preserve"> : </w:t>
            </w:r>
          </w:p>
          <w:p w14:paraId="2B1F2222" w14:textId="54C75CBB" w:rsidR="002D101B" w:rsidRPr="00C452B0" w:rsidRDefault="00B67F22" w:rsidP="00C452B0">
            <w:pPr>
              <w:pStyle w:val="Paragraphedeliste"/>
              <w:numPr>
                <w:ilvl w:val="0"/>
                <w:numId w:val="10"/>
              </w:numPr>
              <w:spacing w:line="276" w:lineRule="auto"/>
              <w:jc w:val="both"/>
              <w:rPr>
                <w:rFonts w:ascii="Century Gothic" w:hAnsi="Century Gothic"/>
                <w:color w:val="000000" w:themeColor="text1"/>
                <w:sz w:val="21"/>
                <w:szCs w:val="21"/>
              </w:rPr>
            </w:pPr>
            <w:r>
              <w:rPr>
                <w:rFonts w:ascii="Century Gothic" w:hAnsi="Century Gothic"/>
                <w:b w:val="0"/>
                <w:color w:val="000000" w:themeColor="text1"/>
                <w:sz w:val="21"/>
                <w:szCs w:val="21"/>
              </w:rPr>
              <w:t xml:space="preserve">Article </w:t>
            </w:r>
            <w:r w:rsidR="005F5FB2">
              <w:rPr>
                <w:rFonts w:ascii="Century Gothic" w:hAnsi="Century Gothic"/>
                <w:b w:val="0"/>
                <w:color w:val="000000" w:themeColor="text1"/>
                <w:sz w:val="21"/>
                <w:szCs w:val="21"/>
              </w:rPr>
              <w:t xml:space="preserve">12 </w:t>
            </w:r>
            <w:r w:rsidR="00902AF2">
              <w:rPr>
                <w:rFonts w:ascii="Century Gothic" w:hAnsi="Century Gothic"/>
                <w:b w:val="0"/>
                <w:color w:val="000000" w:themeColor="text1"/>
                <w:sz w:val="21"/>
                <w:szCs w:val="21"/>
              </w:rPr>
              <w:t xml:space="preserve">et 92 </w:t>
            </w:r>
            <w:r w:rsidR="005F5FB2">
              <w:rPr>
                <w:rFonts w:ascii="Century Gothic" w:hAnsi="Century Gothic"/>
                <w:b w:val="0"/>
                <w:color w:val="000000" w:themeColor="text1"/>
                <w:sz w:val="21"/>
                <w:szCs w:val="21"/>
              </w:rPr>
              <w:t xml:space="preserve">de la loi du 17 juin 2016 </w:t>
            </w:r>
            <w:r w:rsidR="00E50402">
              <w:rPr>
                <w:rFonts w:ascii="Century Gothic" w:hAnsi="Century Gothic"/>
                <w:b w:val="0"/>
                <w:color w:val="000000" w:themeColor="text1"/>
                <w:sz w:val="21"/>
                <w:szCs w:val="21"/>
              </w:rPr>
              <w:t>relative aux</w:t>
            </w:r>
            <w:r w:rsidR="005F5FB2">
              <w:rPr>
                <w:rFonts w:ascii="Century Gothic" w:hAnsi="Century Gothic"/>
                <w:b w:val="0"/>
                <w:color w:val="000000" w:themeColor="text1"/>
                <w:sz w:val="21"/>
                <w:szCs w:val="21"/>
              </w:rPr>
              <w:t xml:space="preserve"> marchés publics</w:t>
            </w:r>
          </w:p>
          <w:p w14:paraId="3EF387A0" w14:textId="6F6DEB50" w:rsidR="00A1273D" w:rsidRPr="00A1273D" w:rsidRDefault="00A1273D" w:rsidP="00A1273D">
            <w:pPr>
              <w:pStyle w:val="Paragraphedeliste"/>
              <w:numPr>
                <w:ilvl w:val="0"/>
                <w:numId w:val="10"/>
              </w:numPr>
              <w:spacing w:after="200" w:line="276" w:lineRule="auto"/>
              <w:jc w:val="both"/>
              <w:rPr>
                <w:rFonts w:ascii="Century Gothic" w:hAnsi="Century Gothic"/>
                <w:b w:val="0"/>
                <w:color w:val="000000" w:themeColor="text1"/>
                <w:sz w:val="21"/>
                <w:szCs w:val="21"/>
              </w:rPr>
            </w:pPr>
            <w:r w:rsidRPr="002D101B">
              <w:rPr>
                <w:rFonts w:ascii="Century Gothic" w:hAnsi="Century Gothic"/>
                <w:b w:val="0"/>
                <w:color w:val="000000" w:themeColor="text1"/>
                <w:sz w:val="21"/>
                <w:szCs w:val="21"/>
              </w:rPr>
              <w:t>Article</w:t>
            </w:r>
            <w:r>
              <w:rPr>
                <w:rFonts w:ascii="Century Gothic" w:hAnsi="Century Gothic"/>
                <w:b w:val="0"/>
                <w:color w:val="000000" w:themeColor="text1"/>
                <w:sz w:val="21"/>
                <w:szCs w:val="21"/>
              </w:rPr>
              <w:t xml:space="preserve"> 2, </w:t>
            </w:r>
            <w:r w:rsidR="00C73ABB">
              <w:rPr>
                <w:rFonts w:ascii="Century Gothic" w:hAnsi="Century Gothic"/>
                <w:b w:val="0"/>
                <w:color w:val="000000" w:themeColor="text1"/>
                <w:sz w:val="21"/>
                <w:szCs w:val="21"/>
              </w:rPr>
              <w:t>19° et 20°,</w:t>
            </w:r>
            <w:r w:rsidR="00902AF2">
              <w:rPr>
                <w:rFonts w:ascii="Century Gothic" w:hAnsi="Century Gothic"/>
                <w:b w:val="0"/>
                <w:color w:val="000000" w:themeColor="text1"/>
                <w:sz w:val="21"/>
                <w:szCs w:val="21"/>
              </w:rPr>
              <w:t xml:space="preserve"> et 67</w:t>
            </w:r>
            <w:r>
              <w:rPr>
                <w:rFonts w:ascii="Century Gothic" w:hAnsi="Century Gothic"/>
                <w:b w:val="0"/>
                <w:color w:val="000000" w:themeColor="text1"/>
                <w:sz w:val="21"/>
                <w:szCs w:val="21"/>
              </w:rPr>
              <w:t xml:space="preserve"> </w:t>
            </w:r>
            <w:bookmarkStart w:id="0" w:name="_Hlk118899434"/>
            <w:r>
              <w:rPr>
                <w:rFonts w:ascii="Century Gothic" w:hAnsi="Century Gothic"/>
                <w:b w:val="0"/>
                <w:color w:val="000000" w:themeColor="text1"/>
                <w:sz w:val="21"/>
                <w:szCs w:val="21"/>
              </w:rPr>
              <w:t xml:space="preserve">de </w:t>
            </w:r>
            <w:r w:rsidRPr="00A1273D">
              <w:rPr>
                <w:rFonts w:ascii="Century Gothic" w:hAnsi="Century Gothic"/>
                <w:b w:val="0"/>
                <w:color w:val="000000" w:themeColor="text1"/>
                <w:sz w:val="21"/>
                <w:szCs w:val="21"/>
              </w:rPr>
              <w:t>l’arrêté royal du 14 janvier 2013 relatif aux règles générales d’exécution des marché</w:t>
            </w:r>
            <w:r w:rsidR="00E5650C">
              <w:rPr>
                <w:rFonts w:ascii="Century Gothic" w:hAnsi="Century Gothic"/>
                <w:b w:val="0"/>
                <w:color w:val="000000" w:themeColor="text1"/>
                <w:sz w:val="21"/>
                <w:szCs w:val="21"/>
              </w:rPr>
              <w:t>s</w:t>
            </w:r>
            <w:r w:rsidRPr="00A1273D">
              <w:rPr>
                <w:rFonts w:ascii="Century Gothic" w:hAnsi="Century Gothic"/>
                <w:b w:val="0"/>
                <w:color w:val="000000" w:themeColor="text1"/>
                <w:sz w:val="21"/>
                <w:szCs w:val="21"/>
              </w:rPr>
              <w:t xml:space="preserve"> publics</w:t>
            </w:r>
            <w:r w:rsidR="00743BF0">
              <w:rPr>
                <w:rFonts w:ascii="Century Gothic" w:hAnsi="Century Gothic"/>
                <w:b w:val="0"/>
                <w:color w:val="000000" w:themeColor="text1"/>
                <w:sz w:val="21"/>
                <w:szCs w:val="21"/>
              </w:rPr>
              <w:t xml:space="preserve"> </w:t>
            </w:r>
            <w:r w:rsidR="00E5650C">
              <w:rPr>
                <w:rFonts w:ascii="Century Gothic" w:hAnsi="Century Gothic"/>
                <w:b w:val="0"/>
                <w:color w:val="000000" w:themeColor="text1"/>
                <w:sz w:val="21"/>
                <w:szCs w:val="21"/>
              </w:rPr>
              <w:t>(RGE)</w:t>
            </w:r>
            <w:bookmarkEnd w:id="0"/>
          </w:p>
          <w:p w14:paraId="45E99D82" w14:textId="46C08BEF" w:rsidR="005A1356" w:rsidRPr="005F5FB2" w:rsidRDefault="005F5FB2" w:rsidP="0061122B">
            <w:pPr>
              <w:pStyle w:val="Paragraphedeliste"/>
              <w:numPr>
                <w:ilvl w:val="0"/>
                <w:numId w:val="10"/>
              </w:numPr>
              <w:spacing w:line="276" w:lineRule="auto"/>
              <w:jc w:val="both"/>
              <w:rPr>
                <w:rFonts w:ascii="Century Gothic" w:hAnsi="Century Gothic"/>
                <w:b w:val="0"/>
                <w:bCs w:val="0"/>
                <w:sz w:val="21"/>
                <w:szCs w:val="21"/>
              </w:rPr>
            </w:pPr>
            <w:r w:rsidRPr="005F5FB2">
              <w:rPr>
                <w:rFonts w:ascii="Century Gothic" w:hAnsi="Century Gothic"/>
                <w:b w:val="0"/>
                <w:bCs w:val="0"/>
                <w:color w:val="auto"/>
                <w:sz w:val="21"/>
                <w:szCs w:val="21"/>
              </w:rPr>
              <w:t xml:space="preserve">Arrêté royal du </w:t>
            </w:r>
            <w:r w:rsidR="00764D65">
              <w:rPr>
                <w:rFonts w:ascii="Century Gothic" w:hAnsi="Century Gothic"/>
                <w:b w:val="0"/>
                <w:bCs w:val="0"/>
                <w:color w:val="auto"/>
                <w:sz w:val="21"/>
                <w:szCs w:val="21"/>
              </w:rPr>
              <w:t>29 novembre 2022</w:t>
            </w:r>
            <w:r w:rsidR="007C6EE4">
              <w:rPr>
                <w:rFonts w:ascii="Century Gothic" w:hAnsi="Century Gothic"/>
                <w:b w:val="0"/>
                <w:bCs w:val="0"/>
                <w:color w:val="auto"/>
                <w:sz w:val="21"/>
                <w:szCs w:val="21"/>
              </w:rPr>
              <w:t xml:space="preserve"> </w:t>
            </w:r>
            <w:r w:rsidR="007C6EE4" w:rsidRPr="007C6EE4">
              <w:rPr>
                <w:rFonts w:ascii="Century Gothic" w:hAnsi="Century Gothic"/>
                <w:b w:val="0"/>
                <w:bCs w:val="0"/>
                <w:color w:val="auto"/>
                <w:sz w:val="21"/>
                <w:szCs w:val="21"/>
              </w:rPr>
              <w:t>relatif à l’octroi d’une avance dans le cadre des marchés publics en raison de la situation économique suite à la guerre en Ukraine</w:t>
            </w:r>
          </w:p>
        </w:tc>
      </w:tr>
    </w:tbl>
    <w:p w14:paraId="5122B89E" w14:textId="190D4C82" w:rsidR="003C5202" w:rsidRDefault="003C5202" w:rsidP="0061122B">
      <w:pPr>
        <w:spacing w:after="0"/>
        <w:jc w:val="both"/>
        <w:rPr>
          <w:rFonts w:ascii="Century Gothic" w:eastAsia="Times New Roman" w:hAnsi="Century Gothic" w:cs="Tahoma"/>
          <w:sz w:val="21"/>
          <w:szCs w:val="21"/>
          <w:lang w:val="fr-FR" w:eastAsia="fr-FR"/>
        </w:rPr>
      </w:pPr>
    </w:p>
    <w:p w14:paraId="2E3CE6CD" w14:textId="77777777" w:rsidR="000007E1" w:rsidRDefault="000007E1" w:rsidP="0061122B">
      <w:pPr>
        <w:spacing w:after="0"/>
        <w:jc w:val="both"/>
        <w:rPr>
          <w:rFonts w:ascii="Century Gothic" w:eastAsia="Times New Roman" w:hAnsi="Century Gothic" w:cs="Tahoma"/>
          <w:sz w:val="21"/>
          <w:szCs w:val="21"/>
          <w:lang w:val="fr-FR" w:eastAsia="fr-FR"/>
        </w:rPr>
      </w:pPr>
    </w:p>
    <w:p w14:paraId="051BC448" w14:textId="01DFA5F9" w:rsidR="00945ABD" w:rsidRPr="00945ABD" w:rsidRDefault="002C0E12" w:rsidP="00945ABD">
      <w:pPr>
        <w:pStyle w:val="Titre1"/>
        <w:numPr>
          <w:ilvl w:val="0"/>
          <w:numId w:val="9"/>
        </w:numPr>
        <w:spacing w:before="0"/>
        <w:jc w:val="both"/>
        <w:rPr>
          <w:rFonts w:eastAsia="Times New Roman"/>
        </w:rPr>
      </w:pPr>
      <w:bookmarkStart w:id="1" w:name="_Toc45198625"/>
      <w:bookmarkStart w:id="2" w:name="_Toc118991718"/>
      <w:r w:rsidRPr="00E758B8">
        <w:rPr>
          <w:rFonts w:eastAsia="Times New Roman"/>
        </w:rPr>
        <w:t>L</w:t>
      </w:r>
      <w:r w:rsidR="00802A1A" w:rsidRPr="00E758B8">
        <w:rPr>
          <w:rFonts w:eastAsia="Times New Roman"/>
        </w:rPr>
        <w:t xml:space="preserve">a </w:t>
      </w:r>
      <w:bookmarkEnd w:id="1"/>
      <w:r w:rsidR="00E50402">
        <w:rPr>
          <w:rFonts w:eastAsia="Times New Roman"/>
        </w:rPr>
        <w:t>notion d’avance</w:t>
      </w:r>
      <w:bookmarkEnd w:id="2"/>
    </w:p>
    <w:p w14:paraId="26A55766" w14:textId="77777777" w:rsidR="00F119B0" w:rsidRPr="00F14D96" w:rsidRDefault="00F119B0" w:rsidP="003E69BF">
      <w:pPr>
        <w:spacing w:after="0"/>
        <w:jc w:val="both"/>
        <w:rPr>
          <w:rFonts w:ascii="Century Gothic" w:eastAsia="Times New Roman" w:hAnsi="Century Gothic" w:cs="Tahoma"/>
          <w:sz w:val="21"/>
          <w:szCs w:val="21"/>
          <w:lang w:val="fr-FR" w:eastAsia="fr-FR"/>
        </w:rPr>
      </w:pPr>
    </w:p>
    <w:p w14:paraId="70F8AC26" w14:textId="5CFB5B86" w:rsidR="0085592D" w:rsidRDefault="00BE123E" w:rsidP="00C0623E">
      <w:pPr>
        <w:pStyle w:val="Titre2"/>
        <w:numPr>
          <w:ilvl w:val="1"/>
          <w:numId w:val="9"/>
        </w:numPr>
        <w:spacing w:before="0"/>
        <w:jc w:val="both"/>
        <w:rPr>
          <w:rFonts w:eastAsia="Times New Roman"/>
          <w:lang w:val="fr-FR" w:eastAsia="fr-FR"/>
        </w:rPr>
      </w:pPr>
      <w:bookmarkStart w:id="3" w:name="_Toc45198626"/>
      <w:bookmarkStart w:id="4" w:name="_Hlk118796293"/>
      <w:bookmarkStart w:id="5" w:name="_Toc118991719"/>
      <w:r>
        <w:rPr>
          <w:rFonts w:eastAsia="Times New Roman"/>
          <w:lang w:val="fr-FR" w:eastAsia="fr-FR"/>
        </w:rPr>
        <w:t>Qu’est-ce qu’</w:t>
      </w:r>
      <w:r w:rsidR="00B24378" w:rsidRPr="00F14D96">
        <w:rPr>
          <w:rFonts w:eastAsia="Times New Roman"/>
          <w:lang w:val="fr-FR" w:eastAsia="fr-FR"/>
        </w:rPr>
        <w:t xml:space="preserve">une </w:t>
      </w:r>
      <w:r w:rsidR="006262D7">
        <w:rPr>
          <w:rFonts w:eastAsia="Times New Roman"/>
          <w:lang w:val="fr-FR" w:eastAsia="fr-FR"/>
        </w:rPr>
        <w:t>avance</w:t>
      </w:r>
      <w:r w:rsidR="00B24378" w:rsidRPr="00F14D96">
        <w:rPr>
          <w:rFonts w:eastAsia="Times New Roman"/>
          <w:lang w:val="fr-FR" w:eastAsia="fr-FR"/>
        </w:rPr>
        <w:t> ?</w:t>
      </w:r>
      <w:bookmarkEnd w:id="3"/>
      <w:bookmarkEnd w:id="4"/>
      <w:bookmarkEnd w:id="5"/>
    </w:p>
    <w:p w14:paraId="31F301F1" w14:textId="77777777" w:rsidR="00C0623E" w:rsidRPr="00C0623E" w:rsidRDefault="00C0623E" w:rsidP="00C0623E">
      <w:pPr>
        <w:rPr>
          <w:lang w:val="fr-FR" w:eastAsia="fr-FR"/>
        </w:rPr>
      </w:pPr>
    </w:p>
    <w:p w14:paraId="2A9D0333" w14:textId="6A08D3BE" w:rsidR="002D101B" w:rsidRDefault="00D0496A" w:rsidP="003E69BF">
      <w:pPr>
        <w:tabs>
          <w:tab w:val="left" w:pos="3885"/>
        </w:tabs>
        <w:spacing w:after="0"/>
        <w:jc w:val="both"/>
        <w:rPr>
          <w:rFonts w:ascii="Century Gothic" w:hAnsi="Century Gothic"/>
          <w:bCs/>
          <w:sz w:val="21"/>
          <w:szCs w:val="21"/>
        </w:rPr>
      </w:pPr>
      <w:r w:rsidRPr="00D0496A">
        <w:rPr>
          <w:rFonts w:ascii="Century Gothic" w:hAnsi="Century Gothic"/>
          <w:bCs/>
          <w:sz w:val="21"/>
          <w:szCs w:val="21"/>
        </w:rPr>
        <w:t xml:space="preserve"> </w:t>
      </w:r>
      <w:r w:rsidR="006262D7" w:rsidRPr="006262D7">
        <w:rPr>
          <w:rFonts w:ascii="Century Gothic" w:hAnsi="Century Gothic"/>
          <w:bCs/>
          <w:sz w:val="21"/>
          <w:szCs w:val="21"/>
        </w:rPr>
        <w:t>Il s’agit d</w:t>
      </w:r>
      <w:r w:rsidR="00F53DBD">
        <w:rPr>
          <w:rFonts w:ascii="Century Gothic" w:hAnsi="Century Gothic"/>
          <w:bCs/>
          <w:sz w:val="21"/>
          <w:szCs w:val="21"/>
        </w:rPr>
        <w:t xml:space="preserve">u </w:t>
      </w:r>
      <w:r w:rsidR="006262D7" w:rsidRPr="006262D7">
        <w:rPr>
          <w:rFonts w:ascii="Century Gothic" w:hAnsi="Century Gothic"/>
          <w:bCs/>
          <w:sz w:val="21"/>
          <w:szCs w:val="21"/>
        </w:rPr>
        <w:t>paiement</w:t>
      </w:r>
      <w:r w:rsidR="00902AF2">
        <w:rPr>
          <w:rFonts w:ascii="Century Gothic" w:hAnsi="Century Gothic"/>
          <w:bCs/>
          <w:sz w:val="21"/>
          <w:szCs w:val="21"/>
        </w:rPr>
        <w:t xml:space="preserve"> d’une partie du marché avant service fait et accepté</w:t>
      </w:r>
      <w:r w:rsidR="00FA6AC7" w:rsidRPr="00E5650C">
        <w:rPr>
          <w:rFonts w:ascii="Century Gothic" w:hAnsi="Century Gothic"/>
          <w:bCs/>
          <w:sz w:val="21"/>
          <w:szCs w:val="21"/>
        </w:rPr>
        <w:t>.</w:t>
      </w:r>
      <w:r w:rsidR="00FA6AC7">
        <w:rPr>
          <w:rFonts w:ascii="Century Gothic" w:hAnsi="Century Gothic"/>
          <w:bCs/>
          <w:sz w:val="21"/>
          <w:szCs w:val="21"/>
        </w:rPr>
        <w:t xml:space="preserve"> </w:t>
      </w:r>
      <w:r w:rsidR="00902AF2">
        <w:rPr>
          <w:rFonts w:ascii="Century Gothic" w:hAnsi="Century Gothic"/>
          <w:bCs/>
          <w:sz w:val="21"/>
          <w:szCs w:val="21"/>
        </w:rPr>
        <w:t>L’avance est donc un paiement anticipé.</w:t>
      </w:r>
    </w:p>
    <w:p w14:paraId="6C967A84" w14:textId="77777777" w:rsidR="00945ABD" w:rsidRPr="0085592D" w:rsidRDefault="00945ABD" w:rsidP="003E69BF">
      <w:pPr>
        <w:tabs>
          <w:tab w:val="left" w:pos="3885"/>
        </w:tabs>
        <w:spacing w:after="0"/>
        <w:jc w:val="both"/>
        <w:rPr>
          <w:rFonts w:ascii="Century Gothic" w:eastAsia="Times New Roman" w:hAnsi="Century Gothic" w:cs="Tahoma"/>
          <w:b/>
          <w:color w:val="548DD4" w:themeColor="text2" w:themeTint="99"/>
          <w:sz w:val="21"/>
          <w:szCs w:val="21"/>
          <w:lang w:val="fr-FR" w:eastAsia="fr-FR"/>
        </w:rPr>
      </w:pPr>
    </w:p>
    <w:p w14:paraId="4380EC07" w14:textId="77777777" w:rsidR="006262D7" w:rsidRPr="006262D7" w:rsidRDefault="006262D7" w:rsidP="003E69BF">
      <w:pPr>
        <w:pStyle w:val="Paragraphedeliste"/>
        <w:spacing w:after="0"/>
        <w:ind w:left="0"/>
        <w:jc w:val="both"/>
        <w:rPr>
          <w:rFonts w:ascii="Century Gothic" w:hAnsi="Century Gothic"/>
          <w:bCs/>
          <w:sz w:val="21"/>
          <w:szCs w:val="21"/>
        </w:rPr>
      </w:pPr>
    </w:p>
    <w:p w14:paraId="396A6324" w14:textId="016D4889" w:rsidR="00C0623E" w:rsidRDefault="006262D7" w:rsidP="00C0623E">
      <w:pPr>
        <w:pStyle w:val="Titre2"/>
        <w:numPr>
          <w:ilvl w:val="1"/>
          <w:numId w:val="9"/>
        </w:numPr>
        <w:spacing w:before="0"/>
        <w:jc w:val="both"/>
      </w:pPr>
      <w:bookmarkStart w:id="6" w:name="_Toc45198627"/>
      <w:bookmarkStart w:id="7" w:name="_Toc118991720"/>
      <w:r>
        <w:t>Est-ce contradictoire avec le principe du paiement sur service fait et accepté</w:t>
      </w:r>
      <w:r w:rsidR="00866282" w:rsidRPr="00E758B8">
        <w:t> ?</w:t>
      </w:r>
      <w:bookmarkEnd w:id="6"/>
      <w:bookmarkEnd w:id="7"/>
      <w:r w:rsidR="00866282" w:rsidRPr="00E758B8">
        <w:t xml:space="preserve">  </w:t>
      </w:r>
    </w:p>
    <w:p w14:paraId="58846DE2" w14:textId="77777777" w:rsidR="00945ABD" w:rsidRPr="00945ABD" w:rsidRDefault="00945ABD" w:rsidP="00945ABD"/>
    <w:p w14:paraId="2AE61797" w14:textId="39E4C079" w:rsidR="006262D7" w:rsidRDefault="006262D7" w:rsidP="003E69BF">
      <w:pPr>
        <w:jc w:val="both"/>
        <w:rPr>
          <w:rFonts w:ascii="Century Gothic" w:hAnsi="Century Gothic"/>
          <w:sz w:val="21"/>
          <w:szCs w:val="21"/>
        </w:rPr>
      </w:pPr>
      <w:r w:rsidRPr="006262D7">
        <w:rPr>
          <w:rFonts w:ascii="Century Gothic" w:hAnsi="Century Gothic"/>
          <w:sz w:val="21"/>
          <w:szCs w:val="21"/>
        </w:rPr>
        <w:t>Oui effectivement.</w:t>
      </w:r>
      <w:r w:rsidR="0085592D">
        <w:rPr>
          <w:rFonts w:ascii="Century Gothic" w:hAnsi="Century Gothic"/>
          <w:sz w:val="21"/>
          <w:szCs w:val="21"/>
        </w:rPr>
        <w:t xml:space="preserve"> </w:t>
      </w:r>
      <w:r w:rsidR="0085592D" w:rsidRPr="0085592D">
        <w:rPr>
          <w:rFonts w:ascii="Century Gothic" w:hAnsi="Century Gothic"/>
          <w:sz w:val="21"/>
          <w:szCs w:val="21"/>
        </w:rPr>
        <w:t>L'avance est définie comme le paiement d'une partie du marché avant service fait et accepté</w:t>
      </w:r>
      <w:r w:rsidR="0085592D">
        <w:rPr>
          <w:rFonts w:ascii="Century Gothic" w:hAnsi="Century Gothic"/>
          <w:sz w:val="21"/>
          <w:szCs w:val="21"/>
        </w:rPr>
        <w:t>.</w:t>
      </w:r>
      <w:r w:rsidR="00611417">
        <w:rPr>
          <w:rFonts w:ascii="Century Gothic" w:hAnsi="Century Gothic"/>
          <w:sz w:val="21"/>
          <w:szCs w:val="21"/>
        </w:rPr>
        <w:t xml:space="preserve"> Elle constitue dès lors une exception à ce principe qui est visé </w:t>
      </w:r>
      <w:r w:rsidR="00611417" w:rsidRPr="00611417">
        <w:rPr>
          <w:rFonts w:ascii="Century Gothic" w:hAnsi="Century Gothic"/>
          <w:sz w:val="21"/>
          <w:szCs w:val="21"/>
        </w:rPr>
        <w:t>à l’article 12 de la loi du 17 juin 2016 relative aux marchés publics</w:t>
      </w:r>
      <w:r w:rsidR="00611417">
        <w:rPr>
          <w:rFonts w:ascii="Century Gothic" w:hAnsi="Century Gothic"/>
          <w:sz w:val="21"/>
          <w:szCs w:val="21"/>
        </w:rPr>
        <w:t>.</w:t>
      </w:r>
    </w:p>
    <w:p w14:paraId="35833082" w14:textId="7BEEF72D" w:rsidR="0067337F" w:rsidRDefault="005B662A" w:rsidP="00854E3B">
      <w:pPr>
        <w:jc w:val="both"/>
        <w:rPr>
          <w:rFonts w:ascii="Century Gothic" w:hAnsi="Century Gothic"/>
          <w:sz w:val="21"/>
          <w:szCs w:val="21"/>
        </w:rPr>
      </w:pPr>
      <w:r>
        <w:rPr>
          <w:rFonts w:ascii="Century Gothic" w:hAnsi="Century Gothic"/>
          <w:sz w:val="21"/>
          <w:szCs w:val="21"/>
        </w:rPr>
        <w:t>En d’autres termes, l</w:t>
      </w:r>
      <w:r w:rsidR="006262D7" w:rsidRPr="006262D7">
        <w:rPr>
          <w:rFonts w:ascii="Century Gothic" w:hAnsi="Century Gothic"/>
          <w:sz w:val="21"/>
          <w:szCs w:val="21"/>
        </w:rPr>
        <w:t>es avances contreviennen</w:t>
      </w:r>
      <w:r w:rsidR="0085592D">
        <w:rPr>
          <w:rFonts w:ascii="Century Gothic" w:hAnsi="Century Gothic"/>
          <w:sz w:val="21"/>
          <w:szCs w:val="21"/>
        </w:rPr>
        <w:t>t</w:t>
      </w:r>
      <w:r w:rsidR="006262D7" w:rsidRPr="006262D7">
        <w:rPr>
          <w:rFonts w:ascii="Century Gothic" w:hAnsi="Century Gothic"/>
          <w:sz w:val="21"/>
          <w:szCs w:val="21"/>
        </w:rPr>
        <w:t xml:space="preserve"> à la règle selon laquelle un paiement ne peut intervenir qu’après la réalisation des travaux, la fourniture des biens ou la prestation des services, ceux-ci devant </w:t>
      </w:r>
      <w:r w:rsidR="009D1F83">
        <w:rPr>
          <w:rFonts w:ascii="Century Gothic" w:hAnsi="Century Gothic"/>
          <w:sz w:val="21"/>
          <w:szCs w:val="21"/>
        </w:rPr>
        <w:t>en outre</w:t>
      </w:r>
      <w:r w:rsidR="006262D7" w:rsidRPr="006262D7">
        <w:rPr>
          <w:rFonts w:ascii="Century Gothic" w:hAnsi="Century Gothic"/>
          <w:sz w:val="21"/>
          <w:szCs w:val="21"/>
        </w:rPr>
        <w:t xml:space="preserve"> être acceptés par le pouvoir adjudicateur</w:t>
      </w:r>
      <w:r w:rsidR="006262D7">
        <w:rPr>
          <w:rFonts w:ascii="Century Gothic" w:hAnsi="Century Gothic"/>
          <w:sz w:val="21"/>
          <w:szCs w:val="21"/>
        </w:rPr>
        <w:t>.</w:t>
      </w:r>
    </w:p>
    <w:p w14:paraId="198D829F" w14:textId="77777777" w:rsidR="00945ABD" w:rsidRPr="00854E3B" w:rsidRDefault="00945ABD" w:rsidP="00854E3B">
      <w:pPr>
        <w:jc w:val="both"/>
        <w:rPr>
          <w:rFonts w:ascii="Century Gothic" w:hAnsi="Century Gothic"/>
          <w:sz w:val="21"/>
          <w:szCs w:val="21"/>
        </w:rPr>
      </w:pPr>
    </w:p>
    <w:p w14:paraId="66A1B429" w14:textId="473C2660" w:rsidR="00E06116" w:rsidRDefault="006262D7" w:rsidP="003E69BF">
      <w:pPr>
        <w:pStyle w:val="Titre2"/>
        <w:numPr>
          <w:ilvl w:val="1"/>
          <w:numId w:val="9"/>
        </w:numPr>
        <w:spacing w:before="0"/>
        <w:jc w:val="both"/>
      </w:pPr>
      <w:bookmarkStart w:id="8" w:name="_Toc45198630"/>
      <w:bookmarkStart w:id="9" w:name="_Toc118991721"/>
      <w:r>
        <w:t>En quoi l’avance se distingue-t-elle de l’acompte</w:t>
      </w:r>
      <w:r w:rsidR="00AE1D9A" w:rsidRPr="00F14D96">
        <w:t> ?</w:t>
      </w:r>
      <w:bookmarkEnd w:id="8"/>
      <w:bookmarkEnd w:id="9"/>
    </w:p>
    <w:p w14:paraId="69991DAB" w14:textId="77777777" w:rsidR="00C0623E" w:rsidRPr="00C0623E" w:rsidRDefault="00C0623E" w:rsidP="00C0623E"/>
    <w:p w14:paraId="1905E33B" w14:textId="77777777" w:rsidR="00140F8F" w:rsidRDefault="00E06116" w:rsidP="003E69BF">
      <w:pPr>
        <w:jc w:val="both"/>
        <w:rPr>
          <w:rFonts w:ascii="Century Gothic" w:hAnsi="Century Gothic"/>
          <w:sz w:val="21"/>
          <w:szCs w:val="21"/>
        </w:rPr>
      </w:pPr>
      <w:r w:rsidRPr="00E06116">
        <w:rPr>
          <w:rFonts w:ascii="Century Gothic" w:hAnsi="Century Gothic"/>
          <w:sz w:val="21"/>
          <w:szCs w:val="21"/>
        </w:rPr>
        <w:t>L’acompte est le paiement fractionné correspondant à la partie déjà réalisée du marché</w:t>
      </w:r>
      <w:r w:rsidR="00C8092E">
        <w:rPr>
          <w:rFonts w:ascii="Century Gothic" w:hAnsi="Century Gothic"/>
          <w:sz w:val="21"/>
          <w:szCs w:val="21"/>
        </w:rPr>
        <w:t>,</w:t>
      </w:r>
      <w:r>
        <w:rPr>
          <w:rFonts w:ascii="Century Gothic" w:hAnsi="Century Gothic"/>
          <w:sz w:val="21"/>
          <w:szCs w:val="21"/>
        </w:rPr>
        <w:t xml:space="preserve"> après service fait et accepté</w:t>
      </w:r>
      <w:r w:rsidRPr="00E06116">
        <w:rPr>
          <w:rFonts w:ascii="Century Gothic" w:hAnsi="Century Gothic"/>
          <w:sz w:val="21"/>
          <w:szCs w:val="21"/>
        </w:rPr>
        <w:t>.</w:t>
      </w:r>
      <w:r w:rsidR="008C6206">
        <w:rPr>
          <w:rFonts w:ascii="Century Gothic" w:hAnsi="Century Gothic"/>
          <w:sz w:val="21"/>
          <w:szCs w:val="21"/>
        </w:rPr>
        <w:t xml:space="preserve"> </w:t>
      </w:r>
    </w:p>
    <w:p w14:paraId="147358DA" w14:textId="0DBBDBF6" w:rsidR="008C6206" w:rsidRDefault="00D33086" w:rsidP="003E69BF">
      <w:pPr>
        <w:jc w:val="both"/>
        <w:rPr>
          <w:rFonts w:ascii="Century Gothic" w:hAnsi="Century Gothic"/>
          <w:sz w:val="21"/>
          <w:szCs w:val="21"/>
        </w:rPr>
      </w:pPr>
      <w:r>
        <w:rPr>
          <w:rFonts w:ascii="Century Gothic" w:hAnsi="Century Gothic"/>
          <w:sz w:val="21"/>
          <w:szCs w:val="21"/>
        </w:rPr>
        <w:t xml:space="preserve"> En cas d’acompte, le</w:t>
      </w:r>
      <w:r w:rsidR="008C6206">
        <w:rPr>
          <w:rFonts w:ascii="Century Gothic" w:hAnsi="Century Gothic"/>
          <w:sz w:val="21"/>
          <w:szCs w:val="21"/>
        </w:rPr>
        <w:t xml:space="preserve"> paiement est donc effectué avant l’exécution complète du marché</w:t>
      </w:r>
      <w:r>
        <w:rPr>
          <w:rFonts w:ascii="Century Gothic" w:hAnsi="Century Gothic"/>
          <w:sz w:val="21"/>
          <w:szCs w:val="21"/>
        </w:rPr>
        <w:t xml:space="preserve"> et s’en trouve dès lors fractionné</w:t>
      </w:r>
      <w:r w:rsidR="008C6206">
        <w:rPr>
          <w:rFonts w:ascii="Century Gothic" w:hAnsi="Century Gothic"/>
          <w:sz w:val="21"/>
          <w:szCs w:val="21"/>
        </w:rPr>
        <w:t xml:space="preserve">. Il s’agit d’un point de similitude avec l’avance. </w:t>
      </w:r>
    </w:p>
    <w:p w14:paraId="0481BAC9" w14:textId="58BA49F1" w:rsidR="008C6206" w:rsidRDefault="002A51E9" w:rsidP="003E69BF">
      <w:pPr>
        <w:jc w:val="both"/>
        <w:rPr>
          <w:rFonts w:ascii="Century Gothic" w:hAnsi="Century Gothic"/>
          <w:sz w:val="21"/>
          <w:szCs w:val="21"/>
        </w:rPr>
      </w:pPr>
      <w:r>
        <w:rPr>
          <w:rFonts w:ascii="Century Gothic" w:hAnsi="Century Gothic"/>
          <w:sz w:val="21"/>
          <w:szCs w:val="21"/>
        </w:rPr>
        <w:t>En revanche</w:t>
      </w:r>
      <w:r w:rsidR="008C6206">
        <w:rPr>
          <w:rFonts w:ascii="Century Gothic" w:hAnsi="Century Gothic"/>
          <w:sz w:val="21"/>
          <w:szCs w:val="21"/>
        </w:rPr>
        <w:t xml:space="preserve">, l’acompte correspond </w:t>
      </w:r>
      <w:r>
        <w:rPr>
          <w:rFonts w:ascii="Century Gothic" w:hAnsi="Century Gothic"/>
          <w:sz w:val="21"/>
          <w:szCs w:val="21"/>
        </w:rPr>
        <w:t>à une</w:t>
      </w:r>
      <w:r w:rsidR="008C6206">
        <w:rPr>
          <w:rFonts w:ascii="Century Gothic" w:hAnsi="Century Gothic"/>
          <w:sz w:val="21"/>
          <w:szCs w:val="21"/>
        </w:rPr>
        <w:t xml:space="preserve"> partie déjà réalisée</w:t>
      </w:r>
      <w:r w:rsidR="00E63505">
        <w:rPr>
          <w:rFonts w:ascii="Century Gothic" w:hAnsi="Century Gothic"/>
          <w:sz w:val="21"/>
          <w:szCs w:val="21"/>
        </w:rPr>
        <w:t xml:space="preserve"> (et acceptée)</w:t>
      </w:r>
      <w:r w:rsidR="008C6206">
        <w:rPr>
          <w:rFonts w:ascii="Century Gothic" w:hAnsi="Century Gothic"/>
          <w:sz w:val="21"/>
          <w:szCs w:val="21"/>
        </w:rPr>
        <w:t xml:space="preserve"> du marché, tandis que l’avance se réfère à </w:t>
      </w:r>
      <w:r w:rsidR="00E63505">
        <w:rPr>
          <w:rFonts w:ascii="Century Gothic" w:hAnsi="Century Gothic"/>
          <w:sz w:val="21"/>
          <w:szCs w:val="21"/>
        </w:rPr>
        <w:t>une partie</w:t>
      </w:r>
      <w:r w:rsidR="008C6206">
        <w:rPr>
          <w:rFonts w:ascii="Century Gothic" w:hAnsi="Century Gothic"/>
          <w:sz w:val="21"/>
          <w:szCs w:val="21"/>
        </w:rPr>
        <w:t xml:space="preserve"> à venir.</w:t>
      </w:r>
      <w:r w:rsidR="00E06116" w:rsidRPr="00E06116">
        <w:rPr>
          <w:rFonts w:ascii="Century Gothic" w:hAnsi="Century Gothic"/>
          <w:sz w:val="21"/>
          <w:szCs w:val="21"/>
        </w:rPr>
        <w:t xml:space="preserve"> </w:t>
      </w:r>
      <w:r w:rsidR="008C6206">
        <w:rPr>
          <w:rFonts w:ascii="Century Gothic" w:hAnsi="Century Gothic"/>
          <w:sz w:val="21"/>
          <w:szCs w:val="21"/>
        </w:rPr>
        <w:t>Il s’agit d’un élément de divergence fondamental.</w:t>
      </w:r>
    </w:p>
    <w:p w14:paraId="39F86573" w14:textId="074AA5BF" w:rsidR="00C0623E" w:rsidRDefault="002A51E9" w:rsidP="003E69BF">
      <w:pPr>
        <w:jc w:val="both"/>
        <w:rPr>
          <w:rFonts w:ascii="Century Gothic" w:hAnsi="Century Gothic"/>
          <w:sz w:val="21"/>
          <w:szCs w:val="21"/>
        </w:rPr>
      </w:pPr>
      <w:r>
        <w:rPr>
          <w:rFonts w:ascii="Century Gothic" w:hAnsi="Century Gothic"/>
          <w:sz w:val="21"/>
          <w:szCs w:val="21"/>
        </w:rPr>
        <w:t xml:space="preserve">En </w:t>
      </w:r>
      <w:r w:rsidR="00140F8F">
        <w:rPr>
          <w:rFonts w:ascii="Century Gothic" w:hAnsi="Century Gothic"/>
          <w:sz w:val="21"/>
          <w:szCs w:val="21"/>
        </w:rPr>
        <w:t>conclusion</w:t>
      </w:r>
      <w:r>
        <w:rPr>
          <w:rFonts w:ascii="Century Gothic" w:hAnsi="Century Gothic"/>
          <w:sz w:val="21"/>
          <w:szCs w:val="21"/>
        </w:rPr>
        <w:t>, l</w:t>
      </w:r>
      <w:r w:rsidR="00E06116" w:rsidRPr="00E06116">
        <w:rPr>
          <w:rFonts w:ascii="Century Gothic" w:hAnsi="Century Gothic"/>
          <w:sz w:val="21"/>
          <w:szCs w:val="21"/>
        </w:rPr>
        <w:t>’acompte est une modalisation particulière du principe du paiement sur service fait et accepté alors que l’avance en constitue une exception.</w:t>
      </w:r>
    </w:p>
    <w:p w14:paraId="55C532C7" w14:textId="0939E472" w:rsidR="00945ABD" w:rsidRDefault="00945ABD" w:rsidP="003E69BF">
      <w:pPr>
        <w:jc w:val="both"/>
        <w:rPr>
          <w:rFonts w:ascii="Century Gothic" w:hAnsi="Century Gothic"/>
          <w:sz w:val="21"/>
          <w:szCs w:val="21"/>
        </w:rPr>
      </w:pPr>
    </w:p>
    <w:p w14:paraId="0CFDAF53" w14:textId="77777777" w:rsidR="00945ABD" w:rsidRPr="00E06116" w:rsidRDefault="00945ABD" w:rsidP="003E69BF">
      <w:pPr>
        <w:jc w:val="both"/>
        <w:rPr>
          <w:rFonts w:ascii="Century Gothic" w:hAnsi="Century Gothic"/>
          <w:sz w:val="21"/>
          <w:szCs w:val="21"/>
        </w:rPr>
      </w:pPr>
    </w:p>
    <w:p w14:paraId="195453B5" w14:textId="0C33F23C" w:rsidR="00920338" w:rsidRPr="00162BAD" w:rsidRDefault="00FF4864" w:rsidP="00162BAD">
      <w:pPr>
        <w:pStyle w:val="Titre1"/>
        <w:numPr>
          <w:ilvl w:val="0"/>
          <w:numId w:val="9"/>
        </w:numPr>
        <w:spacing w:before="0"/>
        <w:jc w:val="both"/>
        <w:rPr>
          <w:lang w:val="fr-FR" w:eastAsia="fr-FR"/>
        </w:rPr>
      </w:pPr>
      <w:bookmarkStart w:id="10" w:name="_Toc45198636"/>
      <w:bookmarkStart w:id="11" w:name="_Toc118991722"/>
      <w:r w:rsidRPr="00F14D96">
        <w:rPr>
          <w:rFonts w:eastAsia="Times New Roman"/>
          <w:lang w:val="fr-FR" w:eastAsia="fr-FR"/>
        </w:rPr>
        <w:t>L</w:t>
      </w:r>
      <w:bookmarkEnd w:id="10"/>
      <w:r w:rsidR="007201FB">
        <w:rPr>
          <w:rFonts w:eastAsia="Times New Roman"/>
          <w:lang w:val="fr-FR" w:eastAsia="fr-FR"/>
        </w:rPr>
        <w:t>’</w:t>
      </w:r>
      <w:r w:rsidR="000414E7">
        <w:rPr>
          <w:rFonts w:eastAsia="Times New Roman"/>
          <w:lang w:val="fr-FR" w:eastAsia="fr-FR"/>
        </w:rPr>
        <w:t>octroi des avances</w:t>
      </w:r>
      <w:bookmarkEnd w:id="11"/>
    </w:p>
    <w:p w14:paraId="3E0EF67E" w14:textId="77777777" w:rsidR="00FF4864" w:rsidRPr="00F14D96" w:rsidRDefault="00FF4864" w:rsidP="003E69BF">
      <w:pPr>
        <w:pStyle w:val="Paragraphedeliste"/>
        <w:spacing w:after="0"/>
        <w:ind w:left="644"/>
        <w:jc w:val="both"/>
        <w:rPr>
          <w:rFonts w:ascii="Century Gothic" w:eastAsia="Times New Roman" w:hAnsi="Century Gothic" w:cs="Tahoma"/>
          <w:b/>
          <w:color w:val="C0504D" w:themeColor="accent2"/>
          <w:sz w:val="21"/>
          <w:szCs w:val="21"/>
          <w:u w:val="single"/>
          <w:lang w:val="fr-FR" w:eastAsia="fr-FR"/>
        </w:rPr>
      </w:pPr>
    </w:p>
    <w:p w14:paraId="5F13162A" w14:textId="3811E734" w:rsidR="00FF4864" w:rsidRDefault="007201FB" w:rsidP="003B799E">
      <w:pPr>
        <w:pStyle w:val="Titre2"/>
        <w:numPr>
          <w:ilvl w:val="1"/>
          <w:numId w:val="9"/>
        </w:numPr>
        <w:spacing w:before="0"/>
        <w:jc w:val="both"/>
      </w:pPr>
      <w:bookmarkStart w:id="12" w:name="_Toc45198637"/>
      <w:bookmarkStart w:id="13" w:name="_Toc118991723"/>
      <w:bookmarkStart w:id="14" w:name="_Hlk118797939"/>
      <w:r>
        <w:t>Dans quels cas peut-on verser une avance ?</w:t>
      </w:r>
      <w:bookmarkEnd w:id="12"/>
      <w:bookmarkEnd w:id="13"/>
    </w:p>
    <w:bookmarkEnd w:id="14"/>
    <w:p w14:paraId="7A4633A7" w14:textId="77777777" w:rsidR="00FF4864" w:rsidRPr="00F14D96" w:rsidRDefault="00FF4864" w:rsidP="003E69BF">
      <w:pPr>
        <w:pStyle w:val="Paragraphedeliste"/>
        <w:spacing w:after="0"/>
        <w:ind w:left="644"/>
        <w:jc w:val="both"/>
        <w:rPr>
          <w:rFonts w:ascii="Century Gothic" w:hAnsi="Century Gothic" w:cs="Verdana"/>
          <w:color w:val="000000"/>
          <w:sz w:val="21"/>
          <w:szCs w:val="21"/>
        </w:rPr>
      </w:pPr>
    </w:p>
    <w:p w14:paraId="696029D1" w14:textId="32000AA4" w:rsidR="000007E1" w:rsidRDefault="007201FB" w:rsidP="003E69BF">
      <w:pPr>
        <w:spacing w:after="0"/>
        <w:jc w:val="both"/>
        <w:rPr>
          <w:rFonts w:ascii="Century Gothic" w:hAnsi="Century Gothic"/>
          <w:sz w:val="21"/>
          <w:szCs w:val="21"/>
        </w:rPr>
      </w:pPr>
      <w:r>
        <w:rPr>
          <w:rFonts w:ascii="Century Gothic" w:hAnsi="Century Gothic"/>
          <w:sz w:val="21"/>
          <w:szCs w:val="21"/>
        </w:rPr>
        <w:t>L</w:t>
      </w:r>
      <w:r w:rsidR="000007E1" w:rsidRPr="000007E1">
        <w:rPr>
          <w:rFonts w:ascii="Century Gothic" w:hAnsi="Century Gothic"/>
          <w:sz w:val="21"/>
          <w:szCs w:val="21"/>
        </w:rPr>
        <w:t xml:space="preserve">es avances </w:t>
      </w:r>
      <w:r>
        <w:rPr>
          <w:rFonts w:ascii="Century Gothic" w:hAnsi="Century Gothic"/>
          <w:sz w:val="21"/>
          <w:szCs w:val="21"/>
        </w:rPr>
        <w:t>étant</w:t>
      </w:r>
      <w:r w:rsidR="000007E1" w:rsidRPr="000007E1">
        <w:rPr>
          <w:rFonts w:ascii="Century Gothic" w:hAnsi="Century Gothic"/>
          <w:sz w:val="21"/>
          <w:szCs w:val="21"/>
        </w:rPr>
        <w:t xml:space="preserve"> une exception</w:t>
      </w:r>
      <w:r>
        <w:rPr>
          <w:rFonts w:ascii="Century Gothic" w:hAnsi="Century Gothic"/>
          <w:sz w:val="21"/>
          <w:szCs w:val="21"/>
        </w:rPr>
        <w:t xml:space="preserve"> au principe du paiement pour un service fait et accepté</w:t>
      </w:r>
      <w:r w:rsidR="000007E1" w:rsidRPr="000007E1">
        <w:rPr>
          <w:rFonts w:ascii="Century Gothic" w:hAnsi="Century Gothic"/>
          <w:sz w:val="21"/>
          <w:szCs w:val="21"/>
        </w:rPr>
        <w:t>, les hypothèses dans lesquelles elles peuvent être octroyées sont limitative</w:t>
      </w:r>
      <w:r>
        <w:rPr>
          <w:rFonts w:ascii="Century Gothic" w:hAnsi="Century Gothic"/>
          <w:sz w:val="21"/>
          <w:szCs w:val="21"/>
        </w:rPr>
        <w:t>ment énumérées dans la réglementation</w:t>
      </w:r>
      <w:r w:rsidR="000007E1" w:rsidRPr="000007E1">
        <w:rPr>
          <w:rFonts w:ascii="Century Gothic" w:hAnsi="Century Gothic"/>
          <w:sz w:val="21"/>
          <w:szCs w:val="21"/>
        </w:rPr>
        <w:t xml:space="preserve">. </w:t>
      </w:r>
    </w:p>
    <w:p w14:paraId="46A50168" w14:textId="77777777" w:rsidR="00F40C44" w:rsidRDefault="00F40C44" w:rsidP="003E69BF">
      <w:pPr>
        <w:spacing w:after="0"/>
        <w:jc w:val="both"/>
        <w:rPr>
          <w:rFonts w:ascii="Century Gothic" w:hAnsi="Century Gothic"/>
          <w:sz w:val="21"/>
          <w:szCs w:val="21"/>
        </w:rPr>
      </w:pPr>
    </w:p>
    <w:p w14:paraId="38A2FBE1" w14:textId="29313375" w:rsidR="000007E1" w:rsidRDefault="000007E1" w:rsidP="003E69BF">
      <w:pPr>
        <w:spacing w:after="0"/>
        <w:jc w:val="both"/>
        <w:rPr>
          <w:rFonts w:ascii="Century Gothic" w:hAnsi="Century Gothic"/>
          <w:sz w:val="21"/>
          <w:szCs w:val="21"/>
        </w:rPr>
      </w:pPr>
      <w:r w:rsidRPr="000007E1">
        <w:rPr>
          <w:rFonts w:ascii="Century Gothic" w:hAnsi="Century Gothic"/>
          <w:sz w:val="21"/>
          <w:szCs w:val="21"/>
        </w:rPr>
        <w:t>Il s’agit des :</w:t>
      </w:r>
    </w:p>
    <w:p w14:paraId="5F8FE4FF" w14:textId="77777777" w:rsidR="000007E1" w:rsidRPr="000007E1" w:rsidRDefault="000007E1" w:rsidP="003E69BF">
      <w:pPr>
        <w:spacing w:after="0"/>
        <w:jc w:val="both"/>
        <w:rPr>
          <w:rFonts w:ascii="Century Gothic" w:hAnsi="Century Gothic"/>
          <w:sz w:val="21"/>
          <w:szCs w:val="21"/>
        </w:rPr>
      </w:pPr>
    </w:p>
    <w:p w14:paraId="5FA5BFE7" w14:textId="77777777"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 xml:space="preserve">1° Marchés qui, par rapport à leur montant, nécessitent des investissements préalables de valeur considérable, tout en étant spécifiquement liés à leur exécution </w:t>
      </w:r>
    </w:p>
    <w:p w14:paraId="74BFE099" w14:textId="77777777"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w:t>
      </w:r>
      <w:r w:rsidRPr="000007E1">
        <w:rPr>
          <w:rFonts w:ascii="Century Gothic" w:hAnsi="Century Gothic"/>
          <w:i/>
          <w:iCs/>
          <w:sz w:val="21"/>
          <w:szCs w:val="21"/>
        </w:rPr>
        <w:tab/>
        <w:t xml:space="preserve">soit pour la réalisation de constructions ou installations ; </w:t>
      </w:r>
    </w:p>
    <w:p w14:paraId="00184C11" w14:textId="77777777"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w:t>
      </w:r>
      <w:r w:rsidRPr="000007E1">
        <w:rPr>
          <w:rFonts w:ascii="Century Gothic" w:hAnsi="Century Gothic"/>
          <w:i/>
          <w:iCs/>
          <w:sz w:val="21"/>
          <w:szCs w:val="21"/>
        </w:rPr>
        <w:tab/>
        <w:t xml:space="preserve">soit pour l’achat de matériel, machines ou outillages ; </w:t>
      </w:r>
    </w:p>
    <w:p w14:paraId="3F2ACCAB" w14:textId="77777777"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w:t>
      </w:r>
      <w:r w:rsidRPr="000007E1">
        <w:rPr>
          <w:rFonts w:ascii="Century Gothic" w:hAnsi="Century Gothic"/>
          <w:i/>
          <w:iCs/>
          <w:sz w:val="21"/>
          <w:szCs w:val="21"/>
        </w:rPr>
        <w:tab/>
        <w:t xml:space="preserve">soit pour l’acquisition de brevets ou de licences de production ou de perfectionnement ; </w:t>
      </w:r>
    </w:p>
    <w:p w14:paraId="67FA8134" w14:textId="2E50EE25"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w:t>
      </w:r>
      <w:r w:rsidRPr="000007E1">
        <w:rPr>
          <w:rFonts w:ascii="Century Gothic" w:hAnsi="Century Gothic"/>
          <w:i/>
          <w:iCs/>
          <w:sz w:val="21"/>
          <w:szCs w:val="21"/>
        </w:rPr>
        <w:tab/>
        <w:t>soit pour les études, essais, mises au point ou réalisations de prototypes ;</w:t>
      </w:r>
    </w:p>
    <w:p w14:paraId="71CCBD4E" w14:textId="77777777" w:rsidR="000007E1" w:rsidRPr="000007E1" w:rsidRDefault="000007E1" w:rsidP="003E69BF">
      <w:pPr>
        <w:spacing w:after="0"/>
        <w:jc w:val="both"/>
        <w:rPr>
          <w:rFonts w:ascii="Century Gothic" w:hAnsi="Century Gothic"/>
          <w:i/>
          <w:iCs/>
          <w:sz w:val="21"/>
          <w:szCs w:val="21"/>
        </w:rPr>
      </w:pPr>
    </w:p>
    <w:p w14:paraId="103BA181" w14:textId="3D3F07D7" w:rsid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2° Marchés de fournitures ou de services qu’il s’impose de conclure avec d’autres États ou une organisation internationale ; ou avec des fournisseurs avec lesquels il faut nécessairement traiter et qui subordonnent l’acceptation du marché au versement d’avance ; ou dans le cadre de programme de recherche, de développement, etc. en commun avec plusieurs États ; ou, encore, avec un organisme d’approvisionnement ou de réparation constitué par des États ;</w:t>
      </w:r>
    </w:p>
    <w:p w14:paraId="361C9D05" w14:textId="02C0A176" w:rsidR="006F15C1" w:rsidRDefault="006F15C1" w:rsidP="003E69BF">
      <w:pPr>
        <w:spacing w:after="0"/>
        <w:jc w:val="both"/>
        <w:rPr>
          <w:rFonts w:ascii="Century Gothic" w:hAnsi="Century Gothic"/>
          <w:i/>
          <w:iCs/>
          <w:sz w:val="21"/>
          <w:szCs w:val="21"/>
        </w:rPr>
      </w:pPr>
    </w:p>
    <w:p w14:paraId="32FEDAC6" w14:textId="23A766EC" w:rsidR="006F15C1" w:rsidRPr="006F15C1" w:rsidRDefault="006F15C1" w:rsidP="006F15C1">
      <w:pPr>
        <w:spacing w:after="0"/>
        <w:ind w:left="708"/>
        <w:jc w:val="both"/>
        <w:rPr>
          <w:rFonts w:ascii="Century Gothic" w:hAnsi="Century Gothic"/>
          <w:sz w:val="21"/>
          <w:szCs w:val="21"/>
        </w:rPr>
      </w:pPr>
      <w:r w:rsidRPr="008D540D">
        <w:rPr>
          <w:rFonts w:ascii="Century Gothic" w:hAnsi="Century Gothic"/>
          <w:sz w:val="21"/>
          <w:szCs w:val="21"/>
          <w:u w:val="single"/>
        </w:rPr>
        <w:t>Exemple</w:t>
      </w:r>
      <w:r>
        <w:rPr>
          <w:rFonts w:ascii="Century Gothic" w:hAnsi="Century Gothic"/>
          <w:sz w:val="21"/>
          <w:szCs w:val="21"/>
        </w:rPr>
        <w:t xml:space="preserve"> : </w:t>
      </w:r>
      <w:r w:rsidR="00C054C7" w:rsidRPr="00C054C7">
        <w:rPr>
          <w:rFonts w:ascii="Century Gothic" w:hAnsi="Century Gothic"/>
          <w:sz w:val="21"/>
          <w:szCs w:val="21"/>
        </w:rPr>
        <w:t>Les marchés passés par l’UE dans le cadre de la vaccination contre la Covid-19 ont nécessité l’octroi d’avances par la Commission aux fabricants pour supporter les coûts de développement des vaccins et anticiper l’achat de ceux-ci.</w:t>
      </w:r>
    </w:p>
    <w:p w14:paraId="5BB7B6E2" w14:textId="77777777" w:rsidR="000007E1" w:rsidRPr="000007E1" w:rsidRDefault="000007E1" w:rsidP="003E69BF">
      <w:pPr>
        <w:spacing w:after="0"/>
        <w:jc w:val="both"/>
        <w:rPr>
          <w:rFonts w:ascii="Century Gothic" w:hAnsi="Century Gothic"/>
          <w:i/>
          <w:iCs/>
          <w:sz w:val="21"/>
          <w:szCs w:val="21"/>
        </w:rPr>
      </w:pPr>
    </w:p>
    <w:p w14:paraId="5AAF7DC5" w14:textId="31EFDDE2" w:rsidR="000007E1" w:rsidRPr="000007E1"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3° Marchés publics de services de transport aérien de voyageurs ;</w:t>
      </w:r>
    </w:p>
    <w:p w14:paraId="5A200283" w14:textId="77777777" w:rsidR="000007E1" w:rsidRPr="000007E1" w:rsidRDefault="000007E1" w:rsidP="003E69BF">
      <w:pPr>
        <w:spacing w:after="0"/>
        <w:jc w:val="both"/>
        <w:rPr>
          <w:rFonts w:ascii="Century Gothic" w:hAnsi="Century Gothic"/>
          <w:i/>
          <w:iCs/>
          <w:sz w:val="21"/>
          <w:szCs w:val="21"/>
        </w:rPr>
      </w:pPr>
    </w:p>
    <w:p w14:paraId="2127E1D5" w14:textId="4777B309" w:rsidR="00FF4864" w:rsidRDefault="000007E1" w:rsidP="003E69BF">
      <w:pPr>
        <w:spacing w:after="0"/>
        <w:jc w:val="both"/>
        <w:rPr>
          <w:rFonts w:ascii="Century Gothic" w:hAnsi="Century Gothic"/>
          <w:i/>
          <w:iCs/>
          <w:sz w:val="21"/>
          <w:szCs w:val="21"/>
        </w:rPr>
      </w:pPr>
      <w:r w:rsidRPr="000007E1">
        <w:rPr>
          <w:rFonts w:ascii="Century Gothic" w:hAnsi="Century Gothic"/>
          <w:i/>
          <w:iCs/>
          <w:sz w:val="21"/>
          <w:szCs w:val="21"/>
        </w:rPr>
        <w:t>4° Marchés de fournitures ou de services qui, selon les usages, sont conclus sur la base d’un abonnement ou pour lesquels un paiement préalable est requis.</w:t>
      </w:r>
    </w:p>
    <w:p w14:paraId="4F615F9D" w14:textId="1444720C" w:rsidR="003B799E" w:rsidRDefault="003B799E" w:rsidP="003E69BF">
      <w:pPr>
        <w:spacing w:after="0"/>
        <w:jc w:val="both"/>
        <w:rPr>
          <w:rFonts w:ascii="Century Gothic" w:hAnsi="Century Gothic"/>
          <w:i/>
          <w:iCs/>
          <w:sz w:val="21"/>
          <w:szCs w:val="21"/>
        </w:rPr>
      </w:pPr>
    </w:p>
    <w:p w14:paraId="22CC89B5" w14:textId="55CF141F" w:rsidR="00F36750" w:rsidRDefault="00F678F3" w:rsidP="006F15C1">
      <w:pPr>
        <w:spacing w:after="0"/>
        <w:ind w:left="708"/>
        <w:jc w:val="both"/>
        <w:rPr>
          <w:rFonts w:ascii="Century Gothic" w:hAnsi="Century Gothic"/>
          <w:sz w:val="21"/>
          <w:szCs w:val="21"/>
        </w:rPr>
      </w:pPr>
      <w:r w:rsidRPr="008D540D">
        <w:rPr>
          <w:rFonts w:ascii="Century Gothic" w:hAnsi="Century Gothic"/>
          <w:sz w:val="21"/>
          <w:szCs w:val="21"/>
          <w:u w:val="single"/>
        </w:rPr>
        <w:t>Exemple</w:t>
      </w:r>
      <w:r>
        <w:rPr>
          <w:rFonts w:ascii="Century Gothic" w:hAnsi="Century Gothic"/>
          <w:sz w:val="21"/>
          <w:szCs w:val="21"/>
        </w:rPr>
        <w:t> : u</w:t>
      </w:r>
      <w:r w:rsidR="00F36750" w:rsidRPr="00F36750">
        <w:rPr>
          <w:rFonts w:ascii="Century Gothic" w:hAnsi="Century Gothic"/>
          <w:sz w:val="21"/>
          <w:szCs w:val="21"/>
        </w:rPr>
        <w:t xml:space="preserve">n marché de services ayant pour objet la désignation d'une agence de voyages pour l'organisation des missions à l'étranger des agents du </w:t>
      </w:r>
      <w:r w:rsidR="00BF1772">
        <w:rPr>
          <w:rFonts w:ascii="Century Gothic" w:hAnsi="Century Gothic"/>
          <w:sz w:val="21"/>
          <w:szCs w:val="21"/>
        </w:rPr>
        <w:t>pouvoir adjudicateur</w:t>
      </w:r>
      <w:r w:rsidR="00F36750" w:rsidRPr="00F36750">
        <w:rPr>
          <w:rFonts w:ascii="Century Gothic" w:hAnsi="Century Gothic"/>
          <w:sz w:val="21"/>
          <w:szCs w:val="21"/>
        </w:rPr>
        <w:t xml:space="preserve"> est un marché dans lequel des avances peuvent être octroyées sur base de l'hypothèse numéro 4. Un paiement préalable est effectivement requis afin de se conformer aux usages du secteur concerné.</w:t>
      </w:r>
    </w:p>
    <w:p w14:paraId="0443D7B6" w14:textId="39B70A8E" w:rsidR="00272EAD" w:rsidRDefault="00272EAD" w:rsidP="006F15C1">
      <w:pPr>
        <w:spacing w:after="0"/>
        <w:ind w:left="708"/>
        <w:jc w:val="both"/>
        <w:rPr>
          <w:rFonts w:ascii="Century Gothic" w:hAnsi="Century Gothic"/>
          <w:sz w:val="21"/>
          <w:szCs w:val="21"/>
        </w:rPr>
      </w:pPr>
    </w:p>
    <w:p w14:paraId="3E1CAE38" w14:textId="0EE48B80" w:rsidR="00272EAD" w:rsidRDefault="00272EAD" w:rsidP="006F15C1">
      <w:pPr>
        <w:spacing w:after="0"/>
        <w:ind w:left="708"/>
        <w:jc w:val="both"/>
        <w:rPr>
          <w:rFonts w:ascii="Century Gothic" w:hAnsi="Century Gothic"/>
          <w:sz w:val="21"/>
          <w:szCs w:val="21"/>
        </w:rPr>
      </w:pPr>
    </w:p>
    <w:p w14:paraId="70C86000" w14:textId="4D057FC2" w:rsidR="00272EAD" w:rsidRDefault="00272EAD" w:rsidP="006F15C1">
      <w:pPr>
        <w:spacing w:after="0"/>
        <w:ind w:left="708"/>
        <w:jc w:val="both"/>
        <w:rPr>
          <w:rFonts w:ascii="Century Gothic" w:hAnsi="Century Gothic"/>
          <w:sz w:val="21"/>
          <w:szCs w:val="21"/>
        </w:rPr>
      </w:pPr>
    </w:p>
    <w:p w14:paraId="67031C0D" w14:textId="7D58121C" w:rsidR="00272EAD" w:rsidRDefault="00272EAD" w:rsidP="006F15C1">
      <w:pPr>
        <w:spacing w:after="0"/>
        <w:ind w:left="708"/>
        <w:jc w:val="both"/>
        <w:rPr>
          <w:rFonts w:ascii="Century Gothic" w:hAnsi="Century Gothic"/>
          <w:sz w:val="21"/>
          <w:szCs w:val="21"/>
        </w:rPr>
      </w:pPr>
    </w:p>
    <w:p w14:paraId="36BBB1E3" w14:textId="77777777" w:rsidR="00272EAD" w:rsidRPr="004F52D4" w:rsidRDefault="00272EAD" w:rsidP="006F15C1">
      <w:pPr>
        <w:spacing w:after="0"/>
        <w:ind w:left="708"/>
        <w:jc w:val="both"/>
        <w:rPr>
          <w:rFonts w:ascii="Century Gothic" w:hAnsi="Century Gothic"/>
          <w:sz w:val="21"/>
          <w:szCs w:val="21"/>
        </w:rPr>
      </w:pPr>
    </w:p>
    <w:p w14:paraId="2389B9C5" w14:textId="77777777" w:rsidR="003B799E" w:rsidRDefault="003B799E" w:rsidP="003B799E">
      <w:pPr>
        <w:pStyle w:val="Titre2"/>
        <w:spacing w:before="0"/>
        <w:jc w:val="both"/>
      </w:pPr>
      <w:bookmarkStart w:id="15" w:name="_Toc45198638"/>
    </w:p>
    <w:p w14:paraId="76F53C2B" w14:textId="7046A9DD" w:rsidR="00FF4864" w:rsidRDefault="0096496B" w:rsidP="003B799E">
      <w:pPr>
        <w:pStyle w:val="Titre2"/>
        <w:numPr>
          <w:ilvl w:val="1"/>
          <w:numId w:val="9"/>
        </w:numPr>
        <w:spacing w:before="0"/>
        <w:jc w:val="both"/>
      </w:pPr>
      <w:bookmarkStart w:id="16" w:name="_Toc118904050"/>
      <w:bookmarkStart w:id="17" w:name="_Toc118991724"/>
      <w:r>
        <w:t xml:space="preserve">Le montant des avances est-il limité </w:t>
      </w:r>
      <w:r w:rsidR="00FF4864" w:rsidRPr="00F14D96">
        <w:t>?</w:t>
      </w:r>
      <w:bookmarkEnd w:id="15"/>
      <w:bookmarkEnd w:id="16"/>
      <w:bookmarkEnd w:id="17"/>
    </w:p>
    <w:p w14:paraId="13E5CE65" w14:textId="722BBEBF" w:rsidR="0096496B" w:rsidRDefault="0096496B" w:rsidP="003E69BF">
      <w:pPr>
        <w:jc w:val="both"/>
      </w:pPr>
    </w:p>
    <w:p w14:paraId="3912411F" w14:textId="41C20244" w:rsidR="00FF4864" w:rsidRDefault="00D05868" w:rsidP="009776AA">
      <w:pPr>
        <w:jc w:val="both"/>
        <w:rPr>
          <w:rFonts w:ascii="Century Gothic" w:hAnsi="Century Gothic"/>
          <w:sz w:val="21"/>
          <w:szCs w:val="21"/>
        </w:rPr>
      </w:pPr>
      <w:r w:rsidRPr="00D05868">
        <w:rPr>
          <w:rFonts w:ascii="Century Gothic" w:hAnsi="Century Gothic"/>
          <w:sz w:val="21"/>
          <w:szCs w:val="21"/>
        </w:rPr>
        <w:t>Pour les marchés nécessitant des investissements préalables de valeur considérable, le montant des avances ne peut pas excéder 50% du montant initial du marché. Pour les trois autres hypothèses reprises ci-dessus, le montant des avances peut aller au-delà du seuil de 50%.</w:t>
      </w:r>
    </w:p>
    <w:p w14:paraId="4ADDBA20" w14:textId="77777777" w:rsidR="009776AA" w:rsidRPr="009776AA" w:rsidRDefault="009776AA" w:rsidP="009776AA">
      <w:pPr>
        <w:jc w:val="both"/>
        <w:rPr>
          <w:rFonts w:ascii="Century Gothic" w:hAnsi="Century Gothic"/>
          <w:sz w:val="21"/>
          <w:szCs w:val="21"/>
        </w:rPr>
      </w:pPr>
    </w:p>
    <w:p w14:paraId="452B27AF" w14:textId="59D0AA38" w:rsidR="00FF4864" w:rsidRPr="00945ABD" w:rsidRDefault="00D05868" w:rsidP="003B799E">
      <w:pPr>
        <w:pStyle w:val="Titre2"/>
        <w:numPr>
          <w:ilvl w:val="1"/>
          <w:numId w:val="9"/>
        </w:numPr>
        <w:spacing w:before="0"/>
        <w:jc w:val="both"/>
        <w:rPr>
          <w:rFonts w:eastAsiaTheme="minorHAnsi" w:cstheme="minorBidi"/>
          <w:bCs/>
          <w:szCs w:val="22"/>
        </w:rPr>
      </w:pPr>
      <w:bookmarkStart w:id="18" w:name="_Toc118991725"/>
      <w:r w:rsidRPr="00945ABD">
        <w:rPr>
          <w:rFonts w:eastAsiaTheme="minorHAnsi" w:cstheme="minorBidi"/>
          <w:bCs/>
          <w:szCs w:val="22"/>
        </w:rPr>
        <w:t>Quelles sont les modalités concrètes d’application ?</w:t>
      </w:r>
      <w:bookmarkEnd w:id="18"/>
      <w:r w:rsidR="00FF4864" w:rsidRPr="00945ABD">
        <w:rPr>
          <w:rFonts w:eastAsiaTheme="minorHAnsi" w:cstheme="minorBidi"/>
          <w:bCs/>
          <w:szCs w:val="22"/>
        </w:rPr>
        <w:t xml:space="preserve"> </w:t>
      </w:r>
    </w:p>
    <w:p w14:paraId="239E3520" w14:textId="77777777" w:rsidR="00FF4864" w:rsidRPr="00C452B0" w:rsidRDefault="00FF4864" w:rsidP="003E69BF">
      <w:pPr>
        <w:spacing w:after="0"/>
        <w:jc w:val="both"/>
        <w:rPr>
          <w:rFonts w:ascii="Century Gothic" w:hAnsi="Century Gothic"/>
          <w:sz w:val="21"/>
          <w:szCs w:val="21"/>
        </w:rPr>
      </w:pPr>
    </w:p>
    <w:p w14:paraId="1726327B" w14:textId="0EAF9465" w:rsidR="007201FB" w:rsidRPr="00C452B0" w:rsidRDefault="007201FB" w:rsidP="007201FB">
      <w:pPr>
        <w:jc w:val="both"/>
        <w:rPr>
          <w:rFonts w:ascii="Century Gothic" w:hAnsi="Century Gothic"/>
          <w:sz w:val="21"/>
          <w:szCs w:val="21"/>
        </w:rPr>
      </w:pPr>
      <w:r w:rsidRPr="00C452B0">
        <w:rPr>
          <w:rFonts w:ascii="Century Gothic" w:hAnsi="Century Gothic"/>
          <w:sz w:val="21"/>
          <w:szCs w:val="21"/>
        </w:rPr>
        <w:t>Une avance doit toujours être mentionnée dans le cahier spécial des charges pour pouvoir être appliquée.</w:t>
      </w:r>
    </w:p>
    <w:p w14:paraId="00DCAC9B" w14:textId="066CB6E2" w:rsidR="007201FB" w:rsidRPr="00C452B0" w:rsidRDefault="007201FB" w:rsidP="007201FB">
      <w:pPr>
        <w:jc w:val="both"/>
        <w:rPr>
          <w:rFonts w:ascii="Century Gothic" w:hAnsi="Century Gothic"/>
          <w:sz w:val="21"/>
          <w:szCs w:val="21"/>
        </w:rPr>
      </w:pPr>
      <w:r w:rsidRPr="00DF3946">
        <w:rPr>
          <w:rFonts w:ascii="Century Gothic" w:hAnsi="Century Gothic"/>
          <w:sz w:val="21"/>
          <w:szCs w:val="21"/>
        </w:rPr>
        <w:t>Le paiement de l'avance est subordonné à l'introduction par l'adjudicataire d'une demande écrite datée et signée à cet effet</w:t>
      </w:r>
      <w:r w:rsidRPr="00C452B0">
        <w:rPr>
          <w:rFonts w:ascii="Century Gothic" w:hAnsi="Century Gothic"/>
          <w:sz w:val="21"/>
          <w:szCs w:val="21"/>
        </w:rPr>
        <w:t>.</w:t>
      </w:r>
    </w:p>
    <w:p w14:paraId="482BFC65" w14:textId="77777777" w:rsidR="00D05868" w:rsidRPr="00C452B0" w:rsidRDefault="00D05868" w:rsidP="003E69BF">
      <w:pPr>
        <w:spacing w:after="0"/>
        <w:jc w:val="both"/>
        <w:rPr>
          <w:rFonts w:ascii="Century Gothic" w:hAnsi="Century Gothic"/>
          <w:sz w:val="21"/>
          <w:szCs w:val="21"/>
        </w:rPr>
      </w:pPr>
      <w:r w:rsidRPr="00DF3946">
        <w:rPr>
          <w:rFonts w:ascii="Century Gothic" w:hAnsi="Century Gothic"/>
          <w:sz w:val="21"/>
          <w:szCs w:val="21"/>
        </w:rPr>
        <w:t>Le montant déjà payé pour les avances doit être déduit par compensation du montant des acomptes introduits au fur et à mesure de l'avancement du marché, conformément aux modalités prévues dans les documents du marché.</w:t>
      </w:r>
    </w:p>
    <w:p w14:paraId="4359DA4D" w14:textId="77777777" w:rsidR="00D05868" w:rsidRPr="00C452B0" w:rsidRDefault="00D05868" w:rsidP="003E69BF">
      <w:pPr>
        <w:spacing w:after="0"/>
        <w:jc w:val="both"/>
        <w:rPr>
          <w:rFonts w:ascii="Century Gothic" w:hAnsi="Century Gothic"/>
          <w:sz w:val="21"/>
          <w:szCs w:val="21"/>
        </w:rPr>
      </w:pPr>
    </w:p>
    <w:p w14:paraId="40B48DBB" w14:textId="76AD76FA" w:rsidR="00134825" w:rsidRDefault="00D05868" w:rsidP="006569AC">
      <w:pPr>
        <w:spacing w:after="0"/>
        <w:jc w:val="both"/>
        <w:rPr>
          <w:rFonts w:ascii="Century Gothic" w:hAnsi="Century Gothic"/>
          <w:sz w:val="21"/>
          <w:szCs w:val="21"/>
        </w:rPr>
      </w:pPr>
      <w:r w:rsidRPr="00C452B0">
        <w:rPr>
          <w:rFonts w:ascii="Century Gothic" w:hAnsi="Century Gothic"/>
          <w:sz w:val="21"/>
          <w:szCs w:val="21"/>
        </w:rPr>
        <w:t xml:space="preserve"> Les avances peuvent également être suspendues ou récupérées si l’adjudicataire manque à ses obligations. </w:t>
      </w:r>
    </w:p>
    <w:p w14:paraId="77BA419D" w14:textId="77777777" w:rsidR="00272EAD" w:rsidRPr="006569AC" w:rsidRDefault="00272EAD" w:rsidP="006569AC">
      <w:pPr>
        <w:spacing w:after="0"/>
        <w:jc w:val="both"/>
        <w:rPr>
          <w:rFonts w:ascii="Century Gothic" w:hAnsi="Century Gothic"/>
          <w:sz w:val="21"/>
          <w:szCs w:val="21"/>
        </w:rPr>
      </w:pPr>
    </w:p>
    <w:p w14:paraId="766B4727" w14:textId="77777777" w:rsidR="009F6685" w:rsidRPr="00C452B0" w:rsidRDefault="009F6685" w:rsidP="003E69BF">
      <w:pPr>
        <w:pStyle w:val="Paragraphedeliste"/>
        <w:spacing w:after="0"/>
        <w:jc w:val="both"/>
        <w:rPr>
          <w:rFonts w:ascii="Century Gothic" w:hAnsi="Century Gothic"/>
          <w:sz w:val="21"/>
          <w:szCs w:val="21"/>
        </w:rPr>
      </w:pPr>
    </w:p>
    <w:p w14:paraId="69AE1613" w14:textId="05B00FE9" w:rsidR="00134825" w:rsidRPr="00197A95" w:rsidRDefault="00134825" w:rsidP="003E69BF">
      <w:pPr>
        <w:pStyle w:val="Titre2"/>
        <w:numPr>
          <w:ilvl w:val="1"/>
          <w:numId w:val="44"/>
        </w:numPr>
        <w:spacing w:before="0"/>
        <w:jc w:val="both"/>
        <w:rPr>
          <w:rFonts w:eastAsiaTheme="minorHAnsi" w:cstheme="minorBidi"/>
          <w:bCs/>
          <w:szCs w:val="22"/>
        </w:rPr>
      </w:pPr>
      <w:bookmarkStart w:id="19" w:name="_Toc45198643"/>
      <w:r w:rsidRPr="00C452B0">
        <w:rPr>
          <w:rFonts w:eastAsiaTheme="minorHAnsi" w:cstheme="minorBidi"/>
          <w:bCs/>
          <w:sz w:val="21"/>
          <w:szCs w:val="21"/>
        </w:rPr>
        <w:t xml:space="preserve"> </w:t>
      </w:r>
      <w:bookmarkStart w:id="20" w:name="_Toc118991726"/>
      <w:r w:rsidRPr="00197A95">
        <w:rPr>
          <w:rFonts w:eastAsiaTheme="minorHAnsi" w:cstheme="minorBidi"/>
          <w:bCs/>
          <w:szCs w:val="22"/>
        </w:rPr>
        <w:t>Quid en cas de marché public de faible montant ?</w:t>
      </w:r>
      <w:bookmarkEnd w:id="19"/>
      <w:bookmarkEnd w:id="20"/>
    </w:p>
    <w:p w14:paraId="5691BA42" w14:textId="77777777" w:rsidR="00134825" w:rsidRDefault="00134825" w:rsidP="003E69BF">
      <w:pPr>
        <w:spacing w:after="0"/>
        <w:jc w:val="both"/>
        <w:rPr>
          <w:rFonts w:ascii="Century Gothic" w:hAnsi="Century Gothic"/>
          <w:sz w:val="21"/>
          <w:szCs w:val="21"/>
        </w:rPr>
      </w:pPr>
    </w:p>
    <w:p w14:paraId="7BECE3AD" w14:textId="43ECBAFC" w:rsidR="00134825" w:rsidRDefault="004410B3" w:rsidP="003E69BF">
      <w:pPr>
        <w:spacing w:after="0"/>
        <w:jc w:val="both"/>
        <w:rPr>
          <w:rFonts w:ascii="Century Gothic" w:hAnsi="Century Gothic"/>
          <w:sz w:val="21"/>
          <w:szCs w:val="21"/>
        </w:rPr>
      </w:pPr>
      <w:r>
        <w:rPr>
          <w:rFonts w:ascii="Century Gothic" w:hAnsi="Century Gothic"/>
          <w:sz w:val="21"/>
          <w:szCs w:val="21"/>
        </w:rPr>
        <w:t>Le principe du paiement sur service fait et accepté ne vaut pas</w:t>
      </w:r>
      <w:r w:rsidR="00E801D6" w:rsidRPr="00E801D6">
        <w:rPr>
          <w:rFonts w:ascii="Century Gothic" w:hAnsi="Century Gothic"/>
          <w:sz w:val="21"/>
          <w:szCs w:val="21"/>
        </w:rPr>
        <w:t xml:space="preserve"> pour les marchés de faible montant, puisque conformément à l’article 92 de la loi du 17 juin 2016, l’article 12 ne leur est pas applicable.</w:t>
      </w:r>
      <w:r w:rsidR="00DA0937">
        <w:rPr>
          <w:rFonts w:ascii="Century Gothic" w:hAnsi="Century Gothic"/>
          <w:sz w:val="21"/>
          <w:szCs w:val="21"/>
        </w:rPr>
        <w:t xml:space="preserve"> </w:t>
      </w:r>
      <w:r w:rsidR="00E801D6" w:rsidRPr="00E801D6">
        <w:rPr>
          <w:rFonts w:ascii="Century Gothic" w:hAnsi="Century Gothic"/>
          <w:sz w:val="21"/>
          <w:szCs w:val="21"/>
        </w:rPr>
        <w:t>Par ailleurs, l’arrêté royal du 14 janvier 2013 ne s’applique pas aux marchés de faible montant (article 5), sauf si le pouvoir adjudicateur décide d’en appliquer certains articles via les documents du marché, conformément à son article 6§5.</w:t>
      </w:r>
    </w:p>
    <w:p w14:paraId="5A7DF1DC" w14:textId="23625E21" w:rsidR="00DA0937" w:rsidRDefault="00DA0937" w:rsidP="003E69BF">
      <w:pPr>
        <w:spacing w:after="0"/>
        <w:jc w:val="both"/>
        <w:rPr>
          <w:rFonts w:ascii="Century Gothic" w:hAnsi="Century Gothic"/>
          <w:sz w:val="21"/>
          <w:szCs w:val="21"/>
        </w:rPr>
      </w:pPr>
    </w:p>
    <w:p w14:paraId="56BC1F59" w14:textId="613EAC27" w:rsidR="00DA0937" w:rsidRDefault="00DA0937" w:rsidP="003E69BF">
      <w:pPr>
        <w:spacing w:after="0"/>
        <w:jc w:val="both"/>
        <w:rPr>
          <w:rFonts w:ascii="Century Gothic" w:hAnsi="Century Gothic"/>
          <w:sz w:val="21"/>
          <w:szCs w:val="21"/>
        </w:rPr>
      </w:pPr>
      <w:r w:rsidRPr="00DA0937">
        <w:rPr>
          <w:rFonts w:ascii="Century Gothic" w:hAnsi="Century Gothic"/>
          <w:sz w:val="21"/>
          <w:szCs w:val="21"/>
        </w:rPr>
        <w:t>Le principe du paiement sur service fait et accepté ne s'appliquant pas, il est dès lors théoriquement possible de prévoir des avances pour tous les marchés publics de faible montant, et plus seulement dans le cadre des hypothèses de marché limitativement énoncées à l'article 67 RGE.</w:t>
      </w:r>
    </w:p>
    <w:p w14:paraId="7300BFA8" w14:textId="77777777" w:rsidR="00DA0937" w:rsidRDefault="00DA0937" w:rsidP="003E69BF">
      <w:pPr>
        <w:spacing w:after="0"/>
        <w:jc w:val="both"/>
        <w:rPr>
          <w:rFonts w:ascii="Century Gothic" w:hAnsi="Century Gothic"/>
          <w:sz w:val="21"/>
          <w:szCs w:val="21"/>
        </w:rPr>
      </w:pPr>
    </w:p>
    <w:p w14:paraId="0FC1E7CA" w14:textId="5EC406C8" w:rsidR="00DA0937" w:rsidRDefault="00DA0937" w:rsidP="003E69BF">
      <w:pPr>
        <w:spacing w:after="0"/>
        <w:jc w:val="both"/>
        <w:rPr>
          <w:rFonts w:ascii="Century Gothic" w:hAnsi="Century Gothic"/>
          <w:sz w:val="21"/>
          <w:szCs w:val="21"/>
        </w:rPr>
      </w:pPr>
      <w:r w:rsidRPr="00DA0937">
        <w:rPr>
          <w:rFonts w:ascii="Century Gothic" w:hAnsi="Century Gothic"/>
          <w:sz w:val="21"/>
          <w:szCs w:val="21"/>
        </w:rPr>
        <w:t>Notons cependant qu’en vertu de la notion de droit constaté,</w:t>
      </w:r>
      <w:r w:rsidR="003977EA">
        <w:rPr>
          <w:rFonts w:ascii="Century Gothic" w:hAnsi="Century Gothic"/>
          <w:sz w:val="21"/>
          <w:szCs w:val="21"/>
        </w:rPr>
        <w:t xml:space="preserve"> </w:t>
      </w:r>
      <w:r w:rsidRPr="00DA0937">
        <w:rPr>
          <w:rFonts w:ascii="Century Gothic" w:hAnsi="Century Gothic"/>
          <w:sz w:val="21"/>
          <w:szCs w:val="21"/>
        </w:rPr>
        <w:t>il est obligatoire</w:t>
      </w:r>
      <w:r w:rsidR="003977EA">
        <w:rPr>
          <w:rFonts w:ascii="Century Gothic" w:hAnsi="Century Gothic"/>
          <w:sz w:val="21"/>
          <w:szCs w:val="21"/>
        </w:rPr>
        <w:t>, notamment pour la Région wallonne,</w:t>
      </w:r>
      <w:r w:rsidRPr="00DA0937">
        <w:rPr>
          <w:rFonts w:ascii="Century Gothic" w:hAnsi="Century Gothic"/>
          <w:sz w:val="21"/>
          <w:szCs w:val="21"/>
        </w:rPr>
        <w:t xml:space="preserve"> de disposer d’une pièce justificative (une facture) pour liquider une dépense sur base de l'article 19 de l’arrêté royal du 10 novembre 2009 fixant le plan comptable applicable à l'Etat fédéral, aux communautés, aux régions et à la Commission communautaire commune</w:t>
      </w:r>
      <w:r>
        <w:rPr>
          <w:rFonts w:ascii="Century Gothic" w:hAnsi="Century Gothic"/>
          <w:sz w:val="21"/>
          <w:szCs w:val="21"/>
        </w:rPr>
        <w:t>.</w:t>
      </w:r>
    </w:p>
    <w:p w14:paraId="2A3B56FD" w14:textId="4184E0A2" w:rsidR="00DA0937" w:rsidRDefault="00DA0937" w:rsidP="003E69BF">
      <w:pPr>
        <w:spacing w:after="0"/>
        <w:jc w:val="both"/>
        <w:rPr>
          <w:rFonts w:ascii="Century Gothic" w:hAnsi="Century Gothic"/>
          <w:sz w:val="21"/>
          <w:szCs w:val="21"/>
        </w:rPr>
      </w:pPr>
    </w:p>
    <w:p w14:paraId="0EF29D08" w14:textId="2145225D" w:rsidR="00DA0937" w:rsidRDefault="00A750D3" w:rsidP="003E69BF">
      <w:pPr>
        <w:spacing w:after="0"/>
        <w:jc w:val="both"/>
        <w:rPr>
          <w:rFonts w:ascii="Century Gothic" w:hAnsi="Century Gothic"/>
          <w:sz w:val="21"/>
          <w:szCs w:val="21"/>
        </w:rPr>
      </w:pPr>
      <w:r>
        <w:rPr>
          <w:rFonts w:ascii="Century Gothic" w:hAnsi="Century Gothic"/>
          <w:sz w:val="21"/>
          <w:szCs w:val="21"/>
        </w:rPr>
        <w:lastRenderedPageBreak/>
        <w:t>Enfin, soulignons</w:t>
      </w:r>
      <w:r w:rsidR="00F678F3">
        <w:rPr>
          <w:rFonts w:ascii="Century Gothic" w:hAnsi="Century Gothic"/>
          <w:sz w:val="21"/>
          <w:szCs w:val="21"/>
        </w:rPr>
        <w:t xml:space="preserve"> qu’il </w:t>
      </w:r>
      <w:r w:rsidR="00A349B0">
        <w:rPr>
          <w:rFonts w:ascii="Century Gothic" w:hAnsi="Century Gothic"/>
          <w:sz w:val="21"/>
          <w:szCs w:val="21"/>
        </w:rPr>
        <w:t>reste</w:t>
      </w:r>
      <w:r w:rsidR="00DA0937" w:rsidRPr="00DA0937">
        <w:rPr>
          <w:rFonts w:ascii="Century Gothic" w:hAnsi="Century Gothic"/>
          <w:sz w:val="21"/>
          <w:szCs w:val="21"/>
        </w:rPr>
        <w:t xml:space="preserve"> toujours loisible à un PA de rendre l'article 67 RGE applicable dans le cadre de son marché public de faible montant et de se raccrocher ainsi à l'une des hypothèses limitatives d'octroi d'avances prévues par l</w:t>
      </w:r>
      <w:r>
        <w:rPr>
          <w:rFonts w:ascii="Century Gothic" w:hAnsi="Century Gothic"/>
          <w:sz w:val="21"/>
          <w:szCs w:val="21"/>
        </w:rPr>
        <w:t>’article 67 RGE.</w:t>
      </w:r>
    </w:p>
    <w:p w14:paraId="74441F5A" w14:textId="77777777" w:rsidR="00645940" w:rsidRDefault="00645940" w:rsidP="003E69BF">
      <w:pPr>
        <w:spacing w:after="0"/>
        <w:jc w:val="both"/>
        <w:rPr>
          <w:rFonts w:ascii="Century Gothic" w:hAnsi="Century Gothic"/>
          <w:sz w:val="21"/>
          <w:szCs w:val="21"/>
        </w:rPr>
      </w:pPr>
    </w:p>
    <w:p w14:paraId="730EB80D" w14:textId="7DA8028E" w:rsidR="00906D6B" w:rsidRPr="003B799E" w:rsidRDefault="00E801D6" w:rsidP="003B799E">
      <w:pPr>
        <w:pStyle w:val="Titre1"/>
        <w:numPr>
          <w:ilvl w:val="0"/>
          <w:numId w:val="44"/>
        </w:numPr>
        <w:rPr>
          <w:rFonts w:eastAsia="Times New Roman" w:cs="Calibri"/>
          <w:bCs/>
          <w:szCs w:val="24"/>
          <w:lang w:eastAsia="fr-BE"/>
        </w:rPr>
      </w:pPr>
      <w:bookmarkStart w:id="21" w:name="_Hlk118797057"/>
      <w:bookmarkStart w:id="22" w:name="_Toc118991727"/>
      <w:r w:rsidRPr="003B799E">
        <w:rPr>
          <w:rFonts w:eastAsia="Times New Roman" w:cs="Calibri"/>
          <w:bCs/>
          <w:szCs w:val="24"/>
          <w:lang w:eastAsia="fr-BE"/>
        </w:rPr>
        <w:t>L’octroi temporaire d’avances dans le contexte de la fluctuation des prix liée à la guerre en Ukraine</w:t>
      </w:r>
      <w:bookmarkEnd w:id="21"/>
      <w:bookmarkEnd w:id="22"/>
    </w:p>
    <w:p w14:paraId="22A0670D" w14:textId="77777777" w:rsidR="00906D6B" w:rsidRDefault="00906D6B" w:rsidP="003E69BF">
      <w:pPr>
        <w:spacing w:after="160" w:line="259" w:lineRule="auto"/>
        <w:jc w:val="both"/>
        <w:rPr>
          <w:rFonts w:ascii="Century Gothic" w:eastAsia="Times New Roman" w:hAnsi="Century Gothic" w:cs="Calibri"/>
          <w:sz w:val="21"/>
          <w:szCs w:val="21"/>
          <w:lang w:eastAsia="fr-BE"/>
        </w:rPr>
      </w:pPr>
    </w:p>
    <w:p w14:paraId="65583884" w14:textId="51509DE4" w:rsidR="00E801D6" w:rsidRPr="00E801D6" w:rsidRDefault="008C6C57" w:rsidP="003E69BF">
      <w:pPr>
        <w:spacing w:after="160" w:line="259" w:lineRule="auto"/>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L</w:t>
      </w:r>
      <w:r w:rsidR="004804AF" w:rsidRPr="009A1DBC">
        <w:rPr>
          <w:rFonts w:ascii="Century Gothic" w:eastAsia="Times New Roman" w:hAnsi="Century Gothic" w:cs="Calibri"/>
          <w:sz w:val="21"/>
          <w:szCs w:val="21"/>
          <w:lang w:eastAsia="fr-BE"/>
        </w:rPr>
        <w:t>’Arrêté royal du 29 novembre 2022 relatif à l’octroi d’une avance dans le cadre des marchés publics en raison de la situation économique suite à la guerre en Ukraine</w:t>
      </w:r>
      <w:r w:rsidRPr="009A1DBC">
        <w:rPr>
          <w:rFonts w:ascii="Century Gothic" w:eastAsia="Times New Roman" w:hAnsi="Century Gothic" w:cs="Calibri"/>
          <w:sz w:val="21"/>
          <w:szCs w:val="21"/>
          <w:lang w:eastAsia="fr-BE"/>
        </w:rPr>
        <w:t xml:space="preserve"> </w:t>
      </w:r>
      <w:r w:rsidR="00E801D6" w:rsidRPr="009A1DBC">
        <w:rPr>
          <w:rFonts w:ascii="Century Gothic" w:eastAsia="Times New Roman" w:hAnsi="Century Gothic" w:cs="Calibri"/>
          <w:sz w:val="21"/>
          <w:szCs w:val="21"/>
          <w:lang w:eastAsia="fr-BE"/>
        </w:rPr>
        <w:t>offre</w:t>
      </w:r>
      <w:r w:rsidR="00E801D6" w:rsidRPr="00E801D6">
        <w:rPr>
          <w:rFonts w:ascii="Century Gothic" w:eastAsia="Times New Roman" w:hAnsi="Century Gothic" w:cs="Calibri"/>
          <w:sz w:val="21"/>
          <w:szCs w:val="21"/>
          <w:lang w:eastAsia="fr-BE"/>
        </w:rPr>
        <w:t xml:space="preserve"> une possibilité supplémentaire aux pouvoirs adjudicateurs d’octroyer des avances</w:t>
      </w:r>
      <w:r w:rsidR="00E801D6" w:rsidRPr="00E801D6">
        <w:rPr>
          <w:rFonts w:ascii="Century Gothic" w:eastAsia="Calibri" w:hAnsi="Century Gothic" w:cs="Times New Roman"/>
          <w:sz w:val="21"/>
          <w:szCs w:val="21"/>
        </w:rPr>
        <w:t xml:space="preserve"> </w:t>
      </w:r>
      <w:r w:rsidR="00E801D6" w:rsidRPr="00E801D6">
        <w:rPr>
          <w:rFonts w:ascii="Century Gothic" w:eastAsia="Times New Roman" w:hAnsi="Century Gothic" w:cs="Calibri"/>
          <w:sz w:val="21"/>
          <w:szCs w:val="21"/>
          <w:lang w:eastAsia="fr-BE"/>
        </w:rPr>
        <w:t>aux adjudicataires confrontés à des problèmes de liquidités, en plus des hypothèses fixées à l’article 67 RGE.</w:t>
      </w:r>
    </w:p>
    <w:p w14:paraId="047D0184" w14:textId="77777777" w:rsidR="00E801D6" w:rsidRPr="009A1DBC" w:rsidRDefault="00E801D6" w:rsidP="003E69BF">
      <w:pPr>
        <w:spacing w:after="160" w:line="259" w:lineRule="auto"/>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Cette possibilité supplémentaire d’octroi :</w:t>
      </w:r>
    </w:p>
    <w:p w14:paraId="190F7B1D" w14:textId="3022CA9C" w:rsidR="00E058AD" w:rsidRPr="009A1DBC" w:rsidRDefault="00E801D6" w:rsidP="003E69BF">
      <w:pPr>
        <w:numPr>
          <w:ilvl w:val="0"/>
          <w:numId w:val="45"/>
        </w:numPr>
        <w:spacing w:after="160" w:line="259" w:lineRule="auto"/>
        <w:contextualSpacing/>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S’applique</w:t>
      </w:r>
      <w:r w:rsidR="004B3431" w:rsidRPr="009A1DBC">
        <w:rPr>
          <w:rFonts w:ascii="Century Gothic" w:eastAsia="Times New Roman" w:hAnsi="Century Gothic" w:cs="Calibri"/>
          <w:sz w:val="21"/>
          <w:szCs w:val="21"/>
          <w:lang w:eastAsia="fr-BE"/>
        </w:rPr>
        <w:t xml:space="preserve"> </w:t>
      </w:r>
      <w:r w:rsidRPr="009A1DBC">
        <w:rPr>
          <w:rFonts w:ascii="Century Gothic" w:eastAsia="Times New Roman" w:hAnsi="Century Gothic" w:cs="Calibri"/>
          <w:sz w:val="21"/>
          <w:szCs w:val="21"/>
          <w:lang w:eastAsia="fr-BE"/>
        </w:rPr>
        <w:t>aux marchés encore à lancer</w:t>
      </w:r>
      <w:r w:rsidR="004B3431" w:rsidRPr="009A1DBC">
        <w:rPr>
          <w:rFonts w:ascii="Century Gothic" w:eastAsia="Times New Roman" w:hAnsi="Century Gothic" w:cs="Calibri"/>
          <w:sz w:val="21"/>
          <w:szCs w:val="21"/>
          <w:lang w:eastAsia="fr-BE"/>
        </w:rPr>
        <w:t>, pour autant que cette faculté soit prévue dans les documents du marché</w:t>
      </w:r>
      <w:r w:rsidR="00482E97">
        <w:rPr>
          <w:rFonts w:ascii="Century Gothic" w:eastAsia="Times New Roman" w:hAnsi="Century Gothic" w:cs="Calibri"/>
          <w:sz w:val="21"/>
          <w:szCs w:val="21"/>
          <w:lang w:eastAsia="fr-BE"/>
        </w:rPr>
        <w:t xml:space="preserve"> (si l’avance est prévue, vous devrez l’octroyer)</w:t>
      </w:r>
      <w:r w:rsidR="004B3431" w:rsidRPr="009A1DBC">
        <w:rPr>
          <w:rFonts w:ascii="Century Gothic" w:eastAsia="Times New Roman" w:hAnsi="Century Gothic" w:cs="Calibri"/>
          <w:sz w:val="21"/>
          <w:szCs w:val="21"/>
          <w:lang w:eastAsia="fr-BE"/>
        </w:rPr>
        <w:t> ;</w:t>
      </w:r>
      <w:r w:rsidRPr="009A1DBC">
        <w:rPr>
          <w:rFonts w:ascii="Century Gothic" w:eastAsia="Times New Roman" w:hAnsi="Century Gothic" w:cs="Calibri"/>
          <w:sz w:val="21"/>
          <w:szCs w:val="21"/>
          <w:lang w:eastAsia="fr-BE"/>
        </w:rPr>
        <w:t xml:space="preserve"> </w:t>
      </w:r>
    </w:p>
    <w:p w14:paraId="4AAFC519" w14:textId="1EFD61AC" w:rsidR="00E801D6" w:rsidRPr="009A1DBC" w:rsidRDefault="00E058AD" w:rsidP="003E69BF">
      <w:pPr>
        <w:numPr>
          <w:ilvl w:val="0"/>
          <w:numId w:val="45"/>
        </w:numPr>
        <w:spacing w:after="160" w:line="259" w:lineRule="auto"/>
        <w:contextualSpacing/>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 xml:space="preserve">S’applique </w:t>
      </w:r>
      <w:r w:rsidR="00E801D6" w:rsidRPr="009A1DBC">
        <w:rPr>
          <w:rFonts w:ascii="Century Gothic" w:eastAsia="Times New Roman" w:hAnsi="Century Gothic" w:cs="Calibri"/>
          <w:sz w:val="21"/>
          <w:szCs w:val="21"/>
          <w:lang w:eastAsia="fr-BE"/>
        </w:rPr>
        <w:t>également aux marchés déjà lancés qui ne sont pas encore en cours d’exécution, ainsi qu’à ceux qui sont déjà en cours d’exécution</w:t>
      </w:r>
      <w:r w:rsidR="006B49D0" w:rsidRPr="009A1DBC">
        <w:rPr>
          <w:rFonts w:ascii="Century Gothic" w:eastAsia="Times New Roman" w:hAnsi="Century Gothic" w:cs="Calibri"/>
          <w:sz w:val="21"/>
          <w:szCs w:val="21"/>
          <w:lang w:eastAsia="fr-BE"/>
        </w:rPr>
        <w:t>, même en l’absence de toute disposition à cet effet dans les documents du marché</w:t>
      </w:r>
      <w:r w:rsidR="00E801D6" w:rsidRPr="009A1DBC">
        <w:rPr>
          <w:rFonts w:ascii="Century Gothic" w:eastAsia="Times New Roman" w:hAnsi="Century Gothic" w:cs="Calibri"/>
          <w:sz w:val="21"/>
          <w:szCs w:val="21"/>
          <w:lang w:eastAsia="fr-BE"/>
        </w:rPr>
        <w:t xml:space="preserve"> ;</w:t>
      </w:r>
    </w:p>
    <w:p w14:paraId="542926FF" w14:textId="5EC5277B" w:rsidR="00E801D6" w:rsidRPr="009A1DBC" w:rsidRDefault="00E801D6" w:rsidP="003E69BF">
      <w:pPr>
        <w:numPr>
          <w:ilvl w:val="0"/>
          <w:numId w:val="45"/>
        </w:numPr>
        <w:spacing w:after="160" w:line="259" w:lineRule="auto"/>
        <w:contextualSpacing/>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Est temporaire</w:t>
      </w:r>
      <w:r w:rsidR="00764D65" w:rsidRPr="009A1DBC">
        <w:rPr>
          <w:rFonts w:ascii="Century Gothic" w:eastAsia="Times New Roman" w:hAnsi="Century Gothic" w:cs="Calibri"/>
          <w:sz w:val="21"/>
          <w:szCs w:val="21"/>
          <w:lang w:eastAsia="fr-BE"/>
        </w:rPr>
        <w:t> :</w:t>
      </w:r>
      <w:r w:rsidRPr="009A1DBC">
        <w:rPr>
          <w:rFonts w:ascii="Century Gothic" w:eastAsia="Times New Roman" w:hAnsi="Century Gothic" w:cs="Calibri"/>
          <w:sz w:val="21"/>
          <w:szCs w:val="21"/>
          <w:lang w:eastAsia="fr-BE"/>
        </w:rPr>
        <w:t xml:space="preserve"> elle ne restera d’application que pour les marchés lancés jusqu’au </w:t>
      </w:r>
      <w:r w:rsidRPr="009A1DBC">
        <w:rPr>
          <w:rFonts w:ascii="Century Gothic" w:eastAsia="Times New Roman" w:hAnsi="Century Gothic" w:cs="Calibri"/>
          <w:b/>
          <w:bCs/>
          <w:sz w:val="21"/>
          <w:szCs w:val="21"/>
          <w:lang w:eastAsia="fr-BE"/>
        </w:rPr>
        <w:t>31 décembre 2023</w:t>
      </w:r>
      <w:r w:rsidRPr="009A1DBC">
        <w:rPr>
          <w:rFonts w:ascii="Century Gothic" w:eastAsia="Times New Roman" w:hAnsi="Century Gothic" w:cs="Calibri"/>
          <w:sz w:val="21"/>
          <w:szCs w:val="21"/>
          <w:lang w:eastAsia="fr-BE"/>
        </w:rPr>
        <w:t> ;</w:t>
      </w:r>
    </w:p>
    <w:p w14:paraId="49C9F973" w14:textId="38F9B967" w:rsidR="00E801D6" w:rsidRPr="009A1DBC" w:rsidRDefault="00E801D6" w:rsidP="003E69BF">
      <w:pPr>
        <w:numPr>
          <w:ilvl w:val="0"/>
          <w:numId w:val="45"/>
        </w:numPr>
        <w:spacing w:after="160" w:line="259" w:lineRule="auto"/>
        <w:contextualSpacing/>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Est limitée</w:t>
      </w:r>
      <w:r w:rsidR="00764D65" w:rsidRPr="009A1DBC">
        <w:rPr>
          <w:rFonts w:ascii="Century Gothic" w:eastAsia="Times New Roman" w:hAnsi="Century Gothic" w:cs="Calibri"/>
          <w:sz w:val="21"/>
          <w:szCs w:val="21"/>
          <w:lang w:eastAsia="fr-BE"/>
        </w:rPr>
        <w:t> :</w:t>
      </w:r>
      <w:r w:rsidRPr="009A1DBC">
        <w:rPr>
          <w:rFonts w:ascii="Century Gothic" w:eastAsia="Times New Roman" w:hAnsi="Century Gothic" w:cs="Calibri"/>
          <w:sz w:val="21"/>
          <w:szCs w:val="21"/>
          <w:lang w:eastAsia="fr-BE"/>
        </w:rPr>
        <w:t xml:space="preserve"> l’avance ne doit pas dépasser </w:t>
      </w:r>
      <w:r w:rsidRPr="009A1DBC">
        <w:rPr>
          <w:rFonts w:ascii="Century Gothic" w:eastAsia="Times New Roman" w:hAnsi="Century Gothic" w:cs="Calibri"/>
          <w:b/>
          <w:bCs/>
          <w:sz w:val="21"/>
          <w:szCs w:val="21"/>
          <w:lang w:eastAsia="fr-BE"/>
        </w:rPr>
        <w:t>20%</w:t>
      </w:r>
      <w:r w:rsidRPr="009A1DBC">
        <w:rPr>
          <w:rFonts w:ascii="Century Gothic" w:eastAsia="Times New Roman" w:hAnsi="Century Gothic" w:cs="Calibri"/>
          <w:sz w:val="21"/>
          <w:szCs w:val="21"/>
          <w:lang w:eastAsia="fr-BE"/>
        </w:rPr>
        <w:t xml:space="preserve"> de la valeur initiale du marché</w:t>
      </w:r>
      <w:r w:rsidR="00C221FC" w:rsidRPr="009A1DBC">
        <w:rPr>
          <w:rFonts w:ascii="Century Gothic" w:eastAsia="Times New Roman" w:hAnsi="Century Gothic" w:cs="Calibri"/>
          <w:sz w:val="21"/>
          <w:szCs w:val="21"/>
          <w:lang w:eastAsia="fr-BE"/>
        </w:rPr>
        <w:t xml:space="preserve"> TVAC</w:t>
      </w:r>
      <w:r w:rsidRPr="009A1DBC">
        <w:rPr>
          <w:rFonts w:ascii="Century Gothic" w:eastAsia="Times New Roman" w:hAnsi="Century Gothic" w:cs="Calibri"/>
          <w:sz w:val="21"/>
          <w:szCs w:val="21"/>
          <w:lang w:eastAsia="fr-BE"/>
        </w:rPr>
        <w:t xml:space="preserve"> ;</w:t>
      </w:r>
    </w:p>
    <w:p w14:paraId="6473916F" w14:textId="2F8DB718" w:rsidR="00E801D6" w:rsidRPr="009A1DBC" w:rsidRDefault="00E801D6" w:rsidP="003E69BF">
      <w:pPr>
        <w:numPr>
          <w:ilvl w:val="0"/>
          <w:numId w:val="45"/>
        </w:numPr>
        <w:spacing w:after="160" w:line="259" w:lineRule="auto"/>
        <w:contextualSpacing/>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lang w:eastAsia="fr-BE"/>
        </w:rPr>
        <w:t>Ne s’applique pas si la durée d’exécution du marché est inférieure à deux mois</w:t>
      </w:r>
      <w:r w:rsidR="004804AF" w:rsidRPr="009A1DBC">
        <w:rPr>
          <w:rFonts w:ascii="Century Gothic" w:eastAsia="Times New Roman" w:hAnsi="Century Gothic" w:cs="Calibri"/>
          <w:sz w:val="21"/>
          <w:szCs w:val="21"/>
          <w:lang w:eastAsia="fr-BE"/>
        </w:rPr>
        <w:t xml:space="preserve"> ni aux accords-cadres (mais bien aux marchés fondés sur un accord-cadre).</w:t>
      </w:r>
    </w:p>
    <w:p w14:paraId="47D7082A" w14:textId="77777777" w:rsidR="002327D7" w:rsidRPr="009A1DBC" w:rsidRDefault="002327D7" w:rsidP="004804AF">
      <w:pPr>
        <w:spacing w:after="160" w:line="259" w:lineRule="auto"/>
        <w:ind w:left="720"/>
        <w:contextualSpacing/>
        <w:jc w:val="both"/>
        <w:rPr>
          <w:rFonts w:ascii="Century Gothic" w:eastAsia="Times New Roman" w:hAnsi="Century Gothic" w:cs="Calibri"/>
          <w:sz w:val="21"/>
          <w:szCs w:val="21"/>
          <w:lang w:eastAsia="fr-BE"/>
        </w:rPr>
      </w:pPr>
    </w:p>
    <w:p w14:paraId="409F354D" w14:textId="629DD2B1" w:rsidR="00E801D6" w:rsidRPr="009A1DBC" w:rsidRDefault="00E801D6" w:rsidP="003E69BF">
      <w:pPr>
        <w:spacing w:after="160" w:line="259" w:lineRule="auto"/>
        <w:jc w:val="both"/>
        <w:rPr>
          <w:rFonts w:ascii="Century Gothic" w:eastAsia="Times New Roman" w:hAnsi="Century Gothic" w:cs="Calibri"/>
          <w:sz w:val="21"/>
          <w:szCs w:val="21"/>
          <w:lang w:eastAsia="fr-BE"/>
        </w:rPr>
      </w:pPr>
      <w:r w:rsidRPr="009A1DBC">
        <w:rPr>
          <w:rFonts w:ascii="Century Gothic" w:eastAsia="Times New Roman" w:hAnsi="Century Gothic" w:cs="Calibri"/>
          <w:sz w:val="21"/>
          <w:szCs w:val="21"/>
          <w:u w:val="single"/>
          <w:lang w:eastAsia="fr-BE"/>
        </w:rPr>
        <w:t>Concrètement</w:t>
      </w:r>
      <w:r w:rsidRPr="009A1DBC">
        <w:rPr>
          <w:rFonts w:ascii="Century Gothic" w:eastAsia="Times New Roman" w:hAnsi="Century Gothic" w:cs="Calibri"/>
          <w:sz w:val="21"/>
          <w:szCs w:val="21"/>
          <w:lang w:eastAsia="fr-BE"/>
        </w:rPr>
        <w:t>, lorsque la durée du marché est supérieure à 12 mois, la référence pour le calcul de l’avance est une somme égale à 12 fois le montant initial du marché, toute taxe comprise, divisée par sa durée exprimée en mois. Lorsqu’il s’agit d’un marché à durée indéterminée, la référence pour le calcul de l’avance est égale à la valeur mensuelle du marché multipliée par 12</w:t>
      </w:r>
      <w:r w:rsidR="009E7066" w:rsidRPr="009A1DBC">
        <w:rPr>
          <w:rFonts w:ascii="Century Gothic" w:eastAsia="Times New Roman" w:hAnsi="Century Gothic" w:cs="Calibri"/>
          <w:sz w:val="21"/>
          <w:szCs w:val="21"/>
          <w:lang w:eastAsia="fr-BE"/>
        </w:rPr>
        <w:t>, sauf lorsque le marché est conclu à prix global</w:t>
      </w:r>
      <w:r w:rsidRPr="009A1DBC">
        <w:rPr>
          <w:rFonts w:ascii="Century Gothic" w:eastAsia="Times New Roman" w:hAnsi="Century Gothic" w:cs="Calibri"/>
          <w:sz w:val="21"/>
          <w:szCs w:val="21"/>
          <w:lang w:eastAsia="fr-BE"/>
        </w:rPr>
        <w:t>.</w:t>
      </w:r>
    </w:p>
    <w:p w14:paraId="07984625" w14:textId="77777777" w:rsidR="00562FBA" w:rsidRPr="00E801D6" w:rsidRDefault="00562FBA" w:rsidP="003E69BF">
      <w:pPr>
        <w:spacing w:after="160" w:line="259" w:lineRule="auto"/>
        <w:jc w:val="both"/>
        <w:rPr>
          <w:rFonts w:ascii="Century Gothic" w:eastAsia="Times New Roman" w:hAnsi="Century Gothic" w:cs="Calibri"/>
          <w:lang w:eastAsia="fr-BE"/>
        </w:rPr>
      </w:pPr>
    </w:p>
    <w:p w14:paraId="65028ED9" w14:textId="6514E323" w:rsidR="00134825" w:rsidRPr="0040506E" w:rsidRDefault="00134825" w:rsidP="003E69BF">
      <w:pPr>
        <w:pStyle w:val="Titre2"/>
        <w:spacing w:before="0"/>
        <w:ind w:left="1570"/>
        <w:jc w:val="both"/>
        <w:rPr>
          <w:i/>
          <w:sz w:val="21"/>
          <w:szCs w:val="21"/>
        </w:rPr>
      </w:pPr>
    </w:p>
    <w:sectPr w:rsidR="00134825" w:rsidRPr="0040506E" w:rsidSect="005B1E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04E0" w14:textId="77777777" w:rsidR="00EA0F8A" w:rsidRDefault="00EA0F8A" w:rsidP="00EC4F23">
      <w:pPr>
        <w:spacing w:after="0" w:line="240" w:lineRule="auto"/>
      </w:pPr>
      <w:r>
        <w:separator/>
      </w:r>
    </w:p>
  </w:endnote>
  <w:endnote w:type="continuationSeparator" w:id="0">
    <w:p w14:paraId="62EF9971" w14:textId="77777777" w:rsidR="00EA0F8A" w:rsidRDefault="00EA0F8A" w:rsidP="00EC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14855"/>
      <w:docPartObj>
        <w:docPartGallery w:val="Page Numbers (Bottom of Page)"/>
        <w:docPartUnique/>
      </w:docPartObj>
    </w:sdtPr>
    <w:sdtEndPr/>
    <w:sdtContent>
      <w:p w14:paraId="4FCC413A" w14:textId="18FFEE9E" w:rsidR="004215C5" w:rsidRDefault="004215C5">
        <w:pPr>
          <w:pStyle w:val="Pieddepage"/>
          <w:jc w:val="right"/>
        </w:pPr>
        <w:r>
          <w:fldChar w:fldCharType="begin"/>
        </w:r>
        <w:r>
          <w:instrText>PAGE   \* MERGEFORMAT</w:instrText>
        </w:r>
        <w:r>
          <w:fldChar w:fldCharType="separate"/>
        </w:r>
        <w:r>
          <w:rPr>
            <w:lang w:val="fr-FR"/>
          </w:rPr>
          <w:t>2</w:t>
        </w:r>
        <w:r>
          <w:fldChar w:fldCharType="end"/>
        </w:r>
      </w:p>
    </w:sdtContent>
  </w:sdt>
  <w:p w14:paraId="56F43AD2" w14:textId="3C9D41AD" w:rsidR="004215C5" w:rsidRDefault="004215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4672" w14:textId="77777777" w:rsidR="00EA0F8A" w:rsidRDefault="00EA0F8A" w:rsidP="00EC4F23">
      <w:pPr>
        <w:spacing w:after="0" w:line="240" w:lineRule="auto"/>
      </w:pPr>
      <w:r>
        <w:separator/>
      </w:r>
    </w:p>
  </w:footnote>
  <w:footnote w:type="continuationSeparator" w:id="0">
    <w:p w14:paraId="01360EB8" w14:textId="77777777" w:rsidR="00EA0F8A" w:rsidRDefault="00EA0F8A" w:rsidP="00EC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1"/>
        <w:szCs w:val="21"/>
      </w:rPr>
      <w:alias w:val="Titre"/>
      <w:tag w:val=""/>
      <w:id w:val="1116400235"/>
      <w:placeholder>
        <w:docPart w:val="72E0DC920DE1404284C9BF16F681CF88"/>
      </w:placeholder>
      <w:dataBinding w:prefixMappings="xmlns:ns0='http://purl.org/dc/elements/1.1/' xmlns:ns1='http://schemas.openxmlformats.org/package/2006/metadata/core-properties' " w:xpath="/ns1:coreProperties[1]/ns0:title[1]" w:storeItemID="{6C3C8BC8-F283-45AE-878A-BAB7291924A1}"/>
      <w:text/>
    </w:sdtPr>
    <w:sdtEndPr/>
    <w:sdtContent>
      <w:p w14:paraId="1CFF91F0" w14:textId="3B971F3C" w:rsidR="004215C5" w:rsidRPr="00D9754D" w:rsidRDefault="003B5250">
        <w:pPr>
          <w:pStyle w:val="En-tte"/>
          <w:jc w:val="right"/>
          <w:rPr>
            <w:rFonts w:ascii="Century Gothic" w:hAnsi="Century Gothic"/>
            <w:color w:val="7F7F7F" w:themeColor="text1" w:themeTint="80"/>
            <w:sz w:val="21"/>
            <w:szCs w:val="21"/>
          </w:rPr>
        </w:pPr>
        <w:r>
          <w:rPr>
            <w:rFonts w:ascii="Century Gothic" w:hAnsi="Century Gothic"/>
            <w:sz w:val="21"/>
            <w:szCs w:val="21"/>
          </w:rPr>
          <w:t>Avances</w:t>
        </w:r>
        <w:r w:rsidRPr="00D9754D">
          <w:rPr>
            <w:rFonts w:ascii="Century Gothic" w:hAnsi="Century Gothic"/>
            <w:sz w:val="21"/>
            <w:szCs w:val="21"/>
          </w:rPr>
          <w:t xml:space="preserve"> – version </w:t>
        </w:r>
        <w:r>
          <w:rPr>
            <w:rFonts w:ascii="Century Gothic" w:hAnsi="Century Gothic"/>
            <w:sz w:val="21"/>
            <w:szCs w:val="21"/>
          </w:rPr>
          <w:t>novembre 2022</w:t>
        </w:r>
      </w:p>
    </w:sdtContent>
  </w:sdt>
  <w:p w14:paraId="4E68EE8C" w14:textId="77777777" w:rsidR="004215C5" w:rsidRDefault="004215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20"/>
    <w:multiLevelType w:val="hybridMultilevel"/>
    <w:tmpl w:val="0A8E4D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531341"/>
    <w:multiLevelType w:val="multilevel"/>
    <w:tmpl w:val="9D4CE78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D4F4E60"/>
    <w:multiLevelType w:val="hybridMultilevel"/>
    <w:tmpl w:val="EAFA1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815D3A"/>
    <w:multiLevelType w:val="multilevel"/>
    <w:tmpl w:val="9F02A6AC"/>
    <w:lvl w:ilvl="0">
      <w:start w:val="2"/>
      <w:numFmt w:val="decimal"/>
      <w:lvlText w:val="%1."/>
      <w:lvlJc w:val="left"/>
      <w:pPr>
        <w:ind w:left="540" w:hanging="540"/>
      </w:pPr>
      <w:rPr>
        <w:rFonts w:hint="default"/>
      </w:rPr>
    </w:lvl>
    <w:lvl w:ilvl="1">
      <w:start w:val="2"/>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1C854AE7"/>
    <w:multiLevelType w:val="hybridMultilevel"/>
    <w:tmpl w:val="92C870B8"/>
    <w:lvl w:ilvl="0" w:tplc="080C000F">
      <w:start w:val="1"/>
      <w:numFmt w:val="decimal"/>
      <w:lvlText w:val="%1."/>
      <w:lvlJc w:val="left"/>
      <w:pPr>
        <w:ind w:left="773" w:hanging="360"/>
      </w:pPr>
      <w:rPr>
        <w:rFont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5" w15:restartNumberingAfterBreak="0">
    <w:nsid w:val="1D9D4363"/>
    <w:multiLevelType w:val="hybridMultilevel"/>
    <w:tmpl w:val="DE3AF494"/>
    <w:lvl w:ilvl="0" w:tplc="5610F5A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7653E7"/>
    <w:multiLevelType w:val="hybridMultilevel"/>
    <w:tmpl w:val="C7FA7AC4"/>
    <w:lvl w:ilvl="0" w:tplc="B8D0B05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9F239E"/>
    <w:multiLevelType w:val="hybridMultilevel"/>
    <w:tmpl w:val="231AE770"/>
    <w:lvl w:ilvl="0" w:tplc="19A65086">
      <w:numFmt w:val="bullet"/>
      <w:lvlText w:val="-"/>
      <w:lvlJc w:val="left"/>
      <w:pPr>
        <w:ind w:left="773" w:hanging="360"/>
      </w:pPr>
      <w:rPr>
        <w:rFonts w:ascii="Calibri" w:eastAsiaTheme="minorHAnsi" w:hAnsi="Calibri" w:cstheme="minorBidi"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8" w15:restartNumberingAfterBreak="0">
    <w:nsid w:val="2B661567"/>
    <w:multiLevelType w:val="hybridMultilevel"/>
    <w:tmpl w:val="76B2274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695CEA"/>
    <w:multiLevelType w:val="hybridMultilevel"/>
    <w:tmpl w:val="95EE31C0"/>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E291528"/>
    <w:multiLevelType w:val="hybridMultilevel"/>
    <w:tmpl w:val="C5C6BCD6"/>
    <w:lvl w:ilvl="0" w:tplc="99C2488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E470D32"/>
    <w:multiLevelType w:val="hybridMultilevel"/>
    <w:tmpl w:val="EE6435E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D8456E"/>
    <w:multiLevelType w:val="hybridMultilevel"/>
    <w:tmpl w:val="0E08BF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7938C5"/>
    <w:multiLevelType w:val="hybridMultilevel"/>
    <w:tmpl w:val="4C386D0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4E282A"/>
    <w:multiLevelType w:val="hybridMultilevel"/>
    <w:tmpl w:val="2FA081F6"/>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226366"/>
    <w:multiLevelType w:val="hybridMultilevel"/>
    <w:tmpl w:val="2158AADC"/>
    <w:lvl w:ilvl="0" w:tplc="320EB95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D43117"/>
    <w:multiLevelType w:val="hybridMultilevel"/>
    <w:tmpl w:val="EF4244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89E3D07"/>
    <w:multiLevelType w:val="hybridMultilevel"/>
    <w:tmpl w:val="EB3851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DA2012"/>
    <w:multiLevelType w:val="multilevel"/>
    <w:tmpl w:val="1BFE2E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62B15"/>
    <w:multiLevelType w:val="hybridMultilevel"/>
    <w:tmpl w:val="E1E6F5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D40FC5"/>
    <w:multiLevelType w:val="hybridMultilevel"/>
    <w:tmpl w:val="49581A04"/>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438D47DA"/>
    <w:multiLevelType w:val="hybridMultilevel"/>
    <w:tmpl w:val="7570E7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D740C2"/>
    <w:multiLevelType w:val="multilevel"/>
    <w:tmpl w:val="703E9CEE"/>
    <w:lvl w:ilvl="0">
      <w:start w:val="1"/>
      <w:numFmt w:val="decimal"/>
      <w:lvlText w:val="%1."/>
      <w:lvlJc w:val="left"/>
      <w:pPr>
        <w:ind w:left="1004"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3" w15:restartNumberingAfterBreak="0">
    <w:nsid w:val="47CB6928"/>
    <w:multiLevelType w:val="multilevel"/>
    <w:tmpl w:val="041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B5C04"/>
    <w:multiLevelType w:val="hybridMultilevel"/>
    <w:tmpl w:val="3ED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7F7EE1"/>
    <w:multiLevelType w:val="hybridMultilevel"/>
    <w:tmpl w:val="C3BC7C7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39A0CE6"/>
    <w:multiLevelType w:val="hybridMultilevel"/>
    <w:tmpl w:val="98BE2B6C"/>
    <w:lvl w:ilvl="0" w:tplc="19A6508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54329AD"/>
    <w:multiLevelType w:val="multilevel"/>
    <w:tmpl w:val="080C1CD8"/>
    <w:lvl w:ilvl="0">
      <w:start w:val="1"/>
      <w:numFmt w:val="decimal"/>
      <w:lvlText w:val="%1."/>
      <w:lvlJc w:val="left"/>
      <w:pPr>
        <w:tabs>
          <w:tab w:val="num" w:pos="1500"/>
        </w:tabs>
        <w:ind w:left="1500" w:hanging="360"/>
      </w:pPr>
    </w:lvl>
    <w:lvl w:ilvl="1">
      <w:start w:val="1"/>
      <w:numFmt w:val="decimal"/>
      <w:lvlText w:val="%2."/>
      <w:lvlJc w:val="left"/>
      <w:pPr>
        <w:tabs>
          <w:tab w:val="num" w:pos="2220"/>
        </w:tabs>
        <w:ind w:left="2220" w:hanging="360"/>
      </w:pPr>
    </w:lvl>
    <w:lvl w:ilvl="2">
      <w:start w:val="1"/>
      <w:numFmt w:val="decimal"/>
      <w:lvlText w:val="%3."/>
      <w:lvlJc w:val="left"/>
      <w:pPr>
        <w:tabs>
          <w:tab w:val="num" w:pos="2940"/>
        </w:tabs>
        <w:ind w:left="2940" w:hanging="360"/>
      </w:pPr>
    </w:lvl>
    <w:lvl w:ilvl="3" w:tentative="1">
      <w:start w:val="1"/>
      <w:numFmt w:val="decimal"/>
      <w:lvlText w:val="%4."/>
      <w:lvlJc w:val="left"/>
      <w:pPr>
        <w:tabs>
          <w:tab w:val="num" w:pos="3660"/>
        </w:tabs>
        <w:ind w:left="3660" w:hanging="360"/>
      </w:pPr>
    </w:lvl>
    <w:lvl w:ilvl="4" w:tentative="1">
      <w:start w:val="1"/>
      <w:numFmt w:val="decimal"/>
      <w:lvlText w:val="%5."/>
      <w:lvlJc w:val="left"/>
      <w:pPr>
        <w:tabs>
          <w:tab w:val="num" w:pos="4380"/>
        </w:tabs>
        <w:ind w:left="4380" w:hanging="360"/>
      </w:pPr>
    </w:lvl>
    <w:lvl w:ilvl="5" w:tentative="1">
      <w:start w:val="1"/>
      <w:numFmt w:val="decimal"/>
      <w:lvlText w:val="%6."/>
      <w:lvlJc w:val="left"/>
      <w:pPr>
        <w:tabs>
          <w:tab w:val="num" w:pos="5100"/>
        </w:tabs>
        <w:ind w:left="5100" w:hanging="360"/>
      </w:pPr>
    </w:lvl>
    <w:lvl w:ilvl="6" w:tentative="1">
      <w:start w:val="1"/>
      <w:numFmt w:val="decimal"/>
      <w:lvlText w:val="%7."/>
      <w:lvlJc w:val="left"/>
      <w:pPr>
        <w:tabs>
          <w:tab w:val="num" w:pos="5820"/>
        </w:tabs>
        <w:ind w:left="5820" w:hanging="360"/>
      </w:pPr>
    </w:lvl>
    <w:lvl w:ilvl="7" w:tentative="1">
      <w:start w:val="1"/>
      <w:numFmt w:val="decimal"/>
      <w:lvlText w:val="%8."/>
      <w:lvlJc w:val="left"/>
      <w:pPr>
        <w:tabs>
          <w:tab w:val="num" w:pos="6540"/>
        </w:tabs>
        <w:ind w:left="6540" w:hanging="360"/>
      </w:pPr>
    </w:lvl>
    <w:lvl w:ilvl="8" w:tentative="1">
      <w:start w:val="1"/>
      <w:numFmt w:val="decimal"/>
      <w:lvlText w:val="%9."/>
      <w:lvlJc w:val="left"/>
      <w:pPr>
        <w:tabs>
          <w:tab w:val="num" w:pos="7260"/>
        </w:tabs>
        <w:ind w:left="7260" w:hanging="360"/>
      </w:pPr>
    </w:lvl>
  </w:abstractNum>
  <w:abstractNum w:abstractNumId="28" w15:restartNumberingAfterBreak="0">
    <w:nsid w:val="5B8B2E9A"/>
    <w:multiLevelType w:val="hybridMultilevel"/>
    <w:tmpl w:val="08E0B95C"/>
    <w:lvl w:ilvl="0" w:tplc="19A65086">
      <w:numFmt w:val="bullet"/>
      <w:lvlText w:val="-"/>
      <w:lvlJc w:val="left"/>
      <w:pPr>
        <w:ind w:left="1571" w:hanging="360"/>
      </w:pPr>
      <w:rPr>
        <w:rFonts w:ascii="Calibri" w:eastAsiaTheme="minorHAnsi" w:hAnsi="Calibri" w:cstheme="minorBidi"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9" w15:restartNumberingAfterBreak="0">
    <w:nsid w:val="5CA43F01"/>
    <w:multiLevelType w:val="hybridMultilevel"/>
    <w:tmpl w:val="01B0369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0" w15:restartNumberingAfterBreak="0">
    <w:nsid w:val="5F4948B8"/>
    <w:multiLevelType w:val="hybridMultilevel"/>
    <w:tmpl w:val="2250A2AA"/>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2F2515"/>
    <w:multiLevelType w:val="hybridMultilevel"/>
    <w:tmpl w:val="471C6B54"/>
    <w:lvl w:ilvl="0" w:tplc="3D36C45A">
      <w:start w:val="2"/>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78094A"/>
    <w:multiLevelType w:val="hybridMultilevel"/>
    <w:tmpl w:val="03341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874639"/>
    <w:multiLevelType w:val="hybridMultilevel"/>
    <w:tmpl w:val="5C1E842A"/>
    <w:lvl w:ilvl="0" w:tplc="F6360EB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3A9092D"/>
    <w:multiLevelType w:val="multilevel"/>
    <w:tmpl w:val="4FC0F288"/>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E27D75"/>
    <w:multiLevelType w:val="multilevel"/>
    <w:tmpl w:val="6B203546"/>
    <w:lvl w:ilvl="0">
      <w:start w:val="2"/>
      <w:numFmt w:val="decimal"/>
      <w:lvlText w:val="%1."/>
      <w:lvlJc w:val="left"/>
      <w:pPr>
        <w:ind w:left="540" w:hanging="540"/>
      </w:pPr>
      <w:rPr>
        <w:rFonts w:hint="default"/>
      </w:rPr>
    </w:lvl>
    <w:lvl w:ilvl="1">
      <w:start w:val="5"/>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6D245192"/>
    <w:multiLevelType w:val="hybridMultilevel"/>
    <w:tmpl w:val="27ECE756"/>
    <w:lvl w:ilvl="0" w:tplc="320EB95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F460DE7"/>
    <w:multiLevelType w:val="hybridMultilevel"/>
    <w:tmpl w:val="1BE8E6C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8" w15:restartNumberingAfterBreak="0">
    <w:nsid w:val="70203921"/>
    <w:multiLevelType w:val="multilevel"/>
    <w:tmpl w:val="ED7EAA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AC3453"/>
    <w:multiLevelType w:val="hybridMultilevel"/>
    <w:tmpl w:val="2CE477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22F4A23"/>
    <w:multiLevelType w:val="hybridMultilevel"/>
    <w:tmpl w:val="C74AD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3294CAE"/>
    <w:multiLevelType w:val="multilevel"/>
    <w:tmpl w:val="B0DC555A"/>
    <w:lvl w:ilvl="0">
      <w:start w:val="1"/>
      <w:numFmt w:val="decimal"/>
      <w:lvlText w:val="%1."/>
      <w:lvlJc w:val="left"/>
      <w:pPr>
        <w:ind w:left="360" w:hanging="360"/>
      </w:pPr>
      <w:rPr>
        <w:rFonts w:eastAsia="Times New Roman" w:hint="default"/>
        <w:color w:val="0000FF"/>
        <w:u w:val="single"/>
      </w:rPr>
    </w:lvl>
    <w:lvl w:ilvl="1">
      <w:start w:val="1"/>
      <w:numFmt w:val="decimal"/>
      <w:lvlText w:val="%1.%2."/>
      <w:lvlJc w:val="left"/>
      <w:pPr>
        <w:ind w:left="940" w:hanging="720"/>
      </w:pPr>
      <w:rPr>
        <w:rFonts w:eastAsia="Times New Roman" w:hint="default"/>
        <w:color w:val="auto"/>
        <w:u w:val="single"/>
      </w:rPr>
    </w:lvl>
    <w:lvl w:ilvl="2">
      <w:start w:val="1"/>
      <w:numFmt w:val="decimal"/>
      <w:lvlText w:val="%1.%2.%3."/>
      <w:lvlJc w:val="left"/>
      <w:pPr>
        <w:ind w:left="1160" w:hanging="720"/>
      </w:pPr>
      <w:rPr>
        <w:rFonts w:eastAsia="Times New Roman" w:hint="default"/>
        <w:color w:val="0000FF"/>
        <w:u w:val="single"/>
      </w:rPr>
    </w:lvl>
    <w:lvl w:ilvl="3">
      <w:start w:val="1"/>
      <w:numFmt w:val="decimal"/>
      <w:lvlText w:val="%1.%2.%3.%4."/>
      <w:lvlJc w:val="left"/>
      <w:pPr>
        <w:ind w:left="1740" w:hanging="1080"/>
      </w:pPr>
      <w:rPr>
        <w:rFonts w:eastAsia="Times New Roman" w:hint="default"/>
        <w:color w:val="0000FF"/>
        <w:u w:val="single"/>
      </w:rPr>
    </w:lvl>
    <w:lvl w:ilvl="4">
      <w:start w:val="1"/>
      <w:numFmt w:val="decimal"/>
      <w:lvlText w:val="%1.%2.%3.%4.%5."/>
      <w:lvlJc w:val="left"/>
      <w:pPr>
        <w:ind w:left="1960" w:hanging="1080"/>
      </w:pPr>
      <w:rPr>
        <w:rFonts w:eastAsia="Times New Roman" w:hint="default"/>
        <w:color w:val="0000FF"/>
        <w:u w:val="single"/>
      </w:rPr>
    </w:lvl>
    <w:lvl w:ilvl="5">
      <w:start w:val="1"/>
      <w:numFmt w:val="decimal"/>
      <w:lvlText w:val="%1.%2.%3.%4.%5.%6."/>
      <w:lvlJc w:val="left"/>
      <w:pPr>
        <w:ind w:left="2540" w:hanging="1440"/>
      </w:pPr>
      <w:rPr>
        <w:rFonts w:eastAsia="Times New Roman" w:hint="default"/>
        <w:color w:val="0000FF"/>
        <w:u w:val="single"/>
      </w:rPr>
    </w:lvl>
    <w:lvl w:ilvl="6">
      <w:start w:val="1"/>
      <w:numFmt w:val="decimal"/>
      <w:lvlText w:val="%1.%2.%3.%4.%5.%6.%7."/>
      <w:lvlJc w:val="left"/>
      <w:pPr>
        <w:ind w:left="3120" w:hanging="1800"/>
      </w:pPr>
      <w:rPr>
        <w:rFonts w:eastAsia="Times New Roman" w:hint="default"/>
        <w:color w:val="0000FF"/>
        <w:u w:val="single"/>
      </w:rPr>
    </w:lvl>
    <w:lvl w:ilvl="7">
      <w:start w:val="1"/>
      <w:numFmt w:val="decimal"/>
      <w:lvlText w:val="%1.%2.%3.%4.%5.%6.%7.%8."/>
      <w:lvlJc w:val="left"/>
      <w:pPr>
        <w:ind w:left="3340" w:hanging="1800"/>
      </w:pPr>
      <w:rPr>
        <w:rFonts w:eastAsia="Times New Roman" w:hint="default"/>
        <w:color w:val="0000FF"/>
        <w:u w:val="single"/>
      </w:rPr>
    </w:lvl>
    <w:lvl w:ilvl="8">
      <w:start w:val="1"/>
      <w:numFmt w:val="decimal"/>
      <w:lvlText w:val="%1.%2.%3.%4.%5.%6.%7.%8.%9."/>
      <w:lvlJc w:val="left"/>
      <w:pPr>
        <w:ind w:left="3920" w:hanging="2160"/>
      </w:pPr>
      <w:rPr>
        <w:rFonts w:eastAsia="Times New Roman" w:hint="default"/>
        <w:color w:val="0000FF"/>
        <w:u w:val="single"/>
      </w:rPr>
    </w:lvl>
  </w:abstractNum>
  <w:abstractNum w:abstractNumId="42" w15:restartNumberingAfterBreak="0">
    <w:nsid w:val="75EA6550"/>
    <w:multiLevelType w:val="multilevel"/>
    <w:tmpl w:val="096272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735326"/>
    <w:multiLevelType w:val="hybridMultilevel"/>
    <w:tmpl w:val="5DF2A806"/>
    <w:lvl w:ilvl="0" w:tplc="8CDAFFCE">
      <w:start w:val="1"/>
      <w:numFmt w:val="upperLetter"/>
      <w:lvlText w:val="%1)"/>
      <w:lvlJc w:val="left"/>
      <w:pPr>
        <w:ind w:left="644"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C621075"/>
    <w:multiLevelType w:val="hybridMultilevel"/>
    <w:tmpl w:val="0142C37E"/>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CEC325C"/>
    <w:multiLevelType w:val="hybridMultilevel"/>
    <w:tmpl w:val="7EB0CE58"/>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7CF4650C"/>
    <w:multiLevelType w:val="hybridMultilevel"/>
    <w:tmpl w:val="255C90C0"/>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F0B15BB"/>
    <w:multiLevelType w:val="hybridMultilevel"/>
    <w:tmpl w:val="B75CDC26"/>
    <w:lvl w:ilvl="0" w:tplc="19A65086">
      <w:numFmt w:val="bullet"/>
      <w:lvlText w:val="-"/>
      <w:lvlJc w:val="left"/>
      <w:pPr>
        <w:ind w:left="2136" w:hanging="360"/>
      </w:pPr>
      <w:rPr>
        <w:rFonts w:ascii="Calibri" w:eastAsiaTheme="minorHAnsi" w:hAnsi="Calibri" w:cstheme="minorBidi"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abstractNumId w:val="26"/>
  </w:num>
  <w:num w:numId="2">
    <w:abstractNumId w:val="1"/>
  </w:num>
  <w:num w:numId="3">
    <w:abstractNumId w:val="27"/>
  </w:num>
  <w:num w:numId="4">
    <w:abstractNumId w:val="23"/>
  </w:num>
  <w:num w:numId="5">
    <w:abstractNumId w:val="10"/>
  </w:num>
  <w:num w:numId="6">
    <w:abstractNumId w:val="2"/>
  </w:num>
  <w:num w:numId="7">
    <w:abstractNumId w:val="40"/>
  </w:num>
  <w:num w:numId="8">
    <w:abstractNumId w:val="22"/>
  </w:num>
  <w:num w:numId="9">
    <w:abstractNumId w:val="42"/>
  </w:num>
  <w:num w:numId="10">
    <w:abstractNumId w:val="31"/>
  </w:num>
  <w:num w:numId="11">
    <w:abstractNumId w:val="36"/>
  </w:num>
  <w:num w:numId="12">
    <w:abstractNumId w:val="15"/>
  </w:num>
  <w:num w:numId="13">
    <w:abstractNumId w:val="16"/>
  </w:num>
  <w:num w:numId="14">
    <w:abstractNumId w:val="39"/>
  </w:num>
  <w:num w:numId="15">
    <w:abstractNumId w:val="17"/>
  </w:num>
  <w:num w:numId="16">
    <w:abstractNumId w:val="43"/>
  </w:num>
  <w:num w:numId="17">
    <w:abstractNumId w:val="3"/>
  </w:num>
  <w:num w:numId="18">
    <w:abstractNumId w:val="35"/>
  </w:num>
  <w:num w:numId="19">
    <w:abstractNumId w:val="20"/>
  </w:num>
  <w:num w:numId="20">
    <w:abstractNumId w:val="9"/>
  </w:num>
  <w:num w:numId="21">
    <w:abstractNumId w:val="45"/>
  </w:num>
  <w:num w:numId="22">
    <w:abstractNumId w:val="5"/>
  </w:num>
  <w:num w:numId="23">
    <w:abstractNumId w:val="12"/>
  </w:num>
  <w:num w:numId="24">
    <w:abstractNumId w:val="24"/>
  </w:num>
  <w:num w:numId="25">
    <w:abstractNumId w:val="29"/>
  </w:num>
  <w:num w:numId="26">
    <w:abstractNumId w:val="0"/>
  </w:num>
  <w:num w:numId="27">
    <w:abstractNumId w:val="21"/>
  </w:num>
  <w:num w:numId="28">
    <w:abstractNumId w:val="32"/>
  </w:num>
  <w:num w:numId="29">
    <w:abstractNumId w:val="47"/>
  </w:num>
  <w:num w:numId="30">
    <w:abstractNumId w:val="37"/>
  </w:num>
  <w:num w:numId="31">
    <w:abstractNumId w:val="25"/>
  </w:num>
  <w:num w:numId="32">
    <w:abstractNumId w:val="13"/>
  </w:num>
  <w:num w:numId="33">
    <w:abstractNumId w:val="7"/>
  </w:num>
  <w:num w:numId="34">
    <w:abstractNumId w:val="33"/>
  </w:num>
  <w:num w:numId="35">
    <w:abstractNumId w:val="4"/>
  </w:num>
  <w:num w:numId="36">
    <w:abstractNumId w:val="14"/>
  </w:num>
  <w:num w:numId="37">
    <w:abstractNumId w:val="28"/>
  </w:num>
  <w:num w:numId="38">
    <w:abstractNumId w:val="46"/>
  </w:num>
  <w:num w:numId="39">
    <w:abstractNumId w:val="30"/>
  </w:num>
  <w:num w:numId="40">
    <w:abstractNumId w:val="11"/>
  </w:num>
  <w:num w:numId="41">
    <w:abstractNumId w:val="44"/>
  </w:num>
  <w:num w:numId="42">
    <w:abstractNumId w:val="8"/>
  </w:num>
  <w:num w:numId="43">
    <w:abstractNumId w:val="38"/>
  </w:num>
  <w:num w:numId="44">
    <w:abstractNumId w:val="34"/>
  </w:num>
  <w:num w:numId="45">
    <w:abstractNumId w:val="6"/>
  </w:num>
  <w:num w:numId="46">
    <w:abstractNumId w:val="19"/>
  </w:num>
  <w:num w:numId="47">
    <w:abstractNumId w:val="41"/>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23"/>
    <w:rsid w:val="000007E1"/>
    <w:rsid w:val="0000348A"/>
    <w:rsid w:val="00004C85"/>
    <w:rsid w:val="00004E11"/>
    <w:rsid w:val="00004E8E"/>
    <w:rsid w:val="00007424"/>
    <w:rsid w:val="00007461"/>
    <w:rsid w:val="00007EB1"/>
    <w:rsid w:val="00010CCC"/>
    <w:rsid w:val="00010FB6"/>
    <w:rsid w:val="00012D71"/>
    <w:rsid w:val="000140F9"/>
    <w:rsid w:val="00015103"/>
    <w:rsid w:val="00015773"/>
    <w:rsid w:val="00017E67"/>
    <w:rsid w:val="00021868"/>
    <w:rsid w:val="00025225"/>
    <w:rsid w:val="00026D40"/>
    <w:rsid w:val="000315EE"/>
    <w:rsid w:val="00031BFE"/>
    <w:rsid w:val="00033986"/>
    <w:rsid w:val="0003557F"/>
    <w:rsid w:val="00035AB3"/>
    <w:rsid w:val="000372B1"/>
    <w:rsid w:val="00040425"/>
    <w:rsid w:val="000414E7"/>
    <w:rsid w:val="00044668"/>
    <w:rsid w:val="0004479C"/>
    <w:rsid w:val="00046BDA"/>
    <w:rsid w:val="00050733"/>
    <w:rsid w:val="000512B7"/>
    <w:rsid w:val="00051B2F"/>
    <w:rsid w:val="00051C31"/>
    <w:rsid w:val="00052A4D"/>
    <w:rsid w:val="00052AE9"/>
    <w:rsid w:val="00053840"/>
    <w:rsid w:val="00054886"/>
    <w:rsid w:val="000550D2"/>
    <w:rsid w:val="000603DD"/>
    <w:rsid w:val="0006065D"/>
    <w:rsid w:val="00060A35"/>
    <w:rsid w:val="000629AD"/>
    <w:rsid w:val="000655F4"/>
    <w:rsid w:val="000667EB"/>
    <w:rsid w:val="00067130"/>
    <w:rsid w:val="00070B30"/>
    <w:rsid w:val="0007131C"/>
    <w:rsid w:val="00072EEC"/>
    <w:rsid w:val="00074A4F"/>
    <w:rsid w:val="00076AB0"/>
    <w:rsid w:val="00076E40"/>
    <w:rsid w:val="0007701F"/>
    <w:rsid w:val="00081068"/>
    <w:rsid w:val="0008418D"/>
    <w:rsid w:val="00084DA1"/>
    <w:rsid w:val="0008547D"/>
    <w:rsid w:val="00086498"/>
    <w:rsid w:val="000866F9"/>
    <w:rsid w:val="00090752"/>
    <w:rsid w:val="00091375"/>
    <w:rsid w:val="00094052"/>
    <w:rsid w:val="00095F04"/>
    <w:rsid w:val="00096F78"/>
    <w:rsid w:val="00097912"/>
    <w:rsid w:val="00097F8B"/>
    <w:rsid w:val="000A1B08"/>
    <w:rsid w:val="000A2418"/>
    <w:rsid w:val="000A2B13"/>
    <w:rsid w:val="000A4E9D"/>
    <w:rsid w:val="000A5404"/>
    <w:rsid w:val="000A597D"/>
    <w:rsid w:val="000A65D7"/>
    <w:rsid w:val="000A6FD8"/>
    <w:rsid w:val="000A7121"/>
    <w:rsid w:val="000B19AC"/>
    <w:rsid w:val="000B30FC"/>
    <w:rsid w:val="000B39CC"/>
    <w:rsid w:val="000B733D"/>
    <w:rsid w:val="000C047D"/>
    <w:rsid w:val="000C14CA"/>
    <w:rsid w:val="000C1DDD"/>
    <w:rsid w:val="000C2F2D"/>
    <w:rsid w:val="000C5502"/>
    <w:rsid w:val="000C618D"/>
    <w:rsid w:val="000C640D"/>
    <w:rsid w:val="000C7D9D"/>
    <w:rsid w:val="000D0967"/>
    <w:rsid w:val="000D15C5"/>
    <w:rsid w:val="000D2A46"/>
    <w:rsid w:val="000D37CC"/>
    <w:rsid w:val="000D3F2E"/>
    <w:rsid w:val="000D415C"/>
    <w:rsid w:val="000D4E27"/>
    <w:rsid w:val="000D604A"/>
    <w:rsid w:val="000E14CF"/>
    <w:rsid w:val="000E1673"/>
    <w:rsid w:val="000E1B66"/>
    <w:rsid w:val="000E490A"/>
    <w:rsid w:val="000E4A16"/>
    <w:rsid w:val="000E4B2E"/>
    <w:rsid w:val="000E7173"/>
    <w:rsid w:val="000F0E38"/>
    <w:rsid w:val="000F38F3"/>
    <w:rsid w:val="000F5330"/>
    <w:rsid w:val="000F56F7"/>
    <w:rsid w:val="000F673A"/>
    <w:rsid w:val="000F7C6C"/>
    <w:rsid w:val="0010057D"/>
    <w:rsid w:val="001006FB"/>
    <w:rsid w:val="0010429D"/>
    <w:rsid w:val="00105745"/>
    <w:rsid w:val="00105AE1"/>
    <w:rsid w:val="001062CF"/>
    <w:rsid w:val="0011157E"/>
    <w:rsid w:val="001116A4"/>
    <w:rsid w:val="00113517"/>
    <w:rsid w:val="00115052"/>
    <w:rsid w:val="00115335"/>
    <w:rsid w:val="001153DA"/>
    <w:rsid w:val="001154F7"/>
    <w:rsid w:val="0011704B"/>
    <w:rsid w:val="00117369"/>
    <w:rsid w:val="001223A9"/>
    <w:rsid w:val="00123ECD"/>
    <w:rsid w:val="00125226"/>
    <w:rsid w:val="0012529F"/>
    <w:rsid w:val="00126743"/>
    <w:rsid w:val="00126D4F"/>
    <w:rsid w:val="00127285"/>
    <w:rsid w:val="001323B6"/>
    <w:rsid w:val="00134825"/>
    <w:rsid w:val="001364FF"/>
    <w:rsid w:val="00140F8F"/>
    <w:rsid w:val="0014167E"/>
    <w:rsid w:val="0014225B"/>
    <w:rsid w:val="0014243D"/>
    <w:rsid w:val="00143529"/>
    <w:rsid w:val="0014481B"/>
    <w:rsid w:val="001449CE"/>
    <w:rsid w:val="00144B22"/>
    <w:rsid w:val="001465A8"/>
    <w:rsid w:val="0015018A"/>
    <w:rsid w:val="00151572"/>
    <w:rsid w:val="00151E9A"/>
    <w:rsid w:val="0015221C"/>
    <w:rsid w:val="00153293"/>
    <w:rsid w:val="0015335A"/>
    <w:rsid w:val="00153CF7"/>
    <w:rsid w:val="001540AB"/>
    <w:rsid w:val="00154FFD"/>
    <w:rsid w:val="00155CD7"/>
    <w:rsid w:val="00156413"/>
    <w:rsid w:val="0015689D"/>
    <w:rsid w:val="00157C21"/>
    <w:rsid w:val="00157F14"/>
    <w:rsid w:val="001605BE"/>
    <w:rsid w:val="00160E16"/>
    <w:rsid w:val="00162BAD"/>
    <w:rsid w:val="0016328B"/>
    <w:rsid w:val="001639CE"/>
    <w:rsid w:val="00165580"/>
    <w:rsid w:val="00166DF4"/>
    <w:rsid w:val="00167492"/>
    <w:rsid w:val="00167743"/>
    <w:rsid w:val="00173587"/>
    <w:rsid w:val="00176C6A"/>
    <w:rsid w:val="00176D05"/>
    <w:rsid w:val="001801F2"/>
    <w:rsid w:val="00180CB6"/>
    <w:rsid w:val="0018132D"/>
    <w:rsid w:val="001849B9"/>
    <w:rsid w:val="00186CAA"/>
    <w:rsid w:val="0018783E"/>
    <w:rsid w:val="00192608"/>
    <w:rsid w:val="0019340A"/>
    <w:rsid w:val="00193AEE"/>
    <w:rsid w:val="00197A95"/>
    <w:rsid w:val="001A1203"/>
    <w:rsid w:val="001A2083"/>
    <w:rsid w:val="001A29C4"/>
    <w:rsid w:val="001A55F6"/>
    <w:rsid w:val="001A5DFD"/>
    <w:rsid w:val="001A5E9A"/>
    <w:rsid w:val="001B043C"/>
    <w:rsid w:val="001B08FD"/>
    <w:rsid w:val="001B0D21"/>
    <w:rsid w:val="001B1546"/>
    <w:rsid w:val="001B4260"/>
    <w:rsid w:val="001B476E"/>
    <w:rsid w:val="001B4D82"/>
    <w:rsid w:val="001B55C0"/>
    <w:rsid w:val="001B7A77"/>
    <w:rsid w:val="001C0949"/>
    <w:rsid w:val="001C15C1"/>
    <w:rsid w:val="001C1CC9"/>
    <w:rsid w:val="001C3F99"/>
    <w:rsid w:val="001C44AA"/>
    <w:rsid w:val="001C5727"/>
    <w:rsid w:val="001C6450"/>
    <w:rsid w:val="001C68B7"/>
    <w:rsid w:val="001C702B"/>
    <w:rsid w:val="001D0CFB"/>
    <w:rsid w:val="001D0F05"/>
    <w:rsid w:val="001D27C8"/>
    <w:rsid w:val="001D2C39"/>
    <w:rsid w:val="001D47F5"/>
    <w:rsid w:val="001D4BC8"/>
    <w:rsid w:val="001D506D"/>
    <w:rsid w:val="001D5E91"/>
    <w:rsid w:val="001D6438"/>
    <w:rsid w:val="001D7B30"/>
    <w:rsid w:val="001E0505"/>
    <w:rsid w:val="001E361B"/>
    <w:rsid w:val="001E3B1D"/>
    <w:rsid w:val="001E424F"/>
    <w:rsid w:val="001E55A7"/>
    <w:rsid w:val="001E7A4D"/>
    <w:rsid w:val="001F1C17"/>
    <w:rsid w:val="001F27FC"/>
    <w:rsid w:val="001F44A0"/>
    <w:rsid w:val="001F4EF5"/>
    <w:rsid w:val="001F6207"/>
    <w:rsid w:val="001F752F"/>
    <w:rsid w:val="00201A35"/>
    <w:rsid w:val="00202924"/>
    <w:rsid w:val="00202A5A"/>
    <w:rsid w:val="00202BFC"/>
    <w:rsid w:val="00203F52"/>
    <w:rsid w:val="00204461"/>
    <w:rsid w:val="00204A51"/>
    <w:rsid w:val="00207E56"/>
    <w:rsid w:val="00210E1F"/>
    <w:rsid w:val="0021157C"/>
    <w:rsid w:val="002137D3"/>
    <w:rsid w:val="00213DC7"/>
    <w:rsid w:val="00214242"/>
    <w:rsid w:val="00214D33"/>
    <w:rsid w:val="0021542C"/>
    <w:rsid w:val="00216259"/>
    <w:rsid w:val="00217C40"/>
    <w:rsid w:val="00220207"/>
    <w:rsid w:val="00223180"/>
    <w:rsid w:val="00223839"/>
    <w:rsid w:val="0022492D"/>
    <w:rsid w:val="0023024A"/>
    <w:rsid w:val="00230F3D"/>
    <w:rsid w:val="00231ED5"/>
    <w:rsid w:val="002327D7"/>
    <w:rsid w:val="002328C6"/>
    <w:rsid w:val="002357E3"/>
    <w:rsid w:val="002378A6"/>
    <w:rsid w:val="0024239B"/>
    <w:rsid w:val="00242826"/>
    <w:rsid w:val="00244322"/>
    <w:rsid w:val="00245E4B"/>
    <w:rsid w:val="00245F2D"/>
    <w:rsid w:val="00250E48"/>
    <w:rsid w:val="00252892"/>
    <w:rsid w:val="00252D7B"/>
    <w:rsid w:val="00255A4C"/>
    <w:rsid w:val="002563DF"/>
    <w:rsid w:val="00257EC8"/>
    <w:rsid w:val="0026179A"/>
    <w:rsid w:val="00262D76"/>
    <w:rsid w:val="002632E3"/>
    <w:rsid w:val="00265C84"/>
    <w:rsid w:val="0026798E"/>
    <w:rsid w:val="00271107"/>
    <w:rsid w:val="00272CE4"/>
    <w:rsid w:val="00272EAD"/>
    <w:rsid w:val="0027365E"/>
    <w:rsid w:val="00273D8D"/>
    <w:rsid w:val="00274EDD"/>
    <w:rsid w:val="00276690"/>
    <w:rsid w:val="00276BFF"/>
    <w:rsid w:val="002773E2"/>
    <w:rsid w:val="0028161B"/>
    <w:rsid w:val="0028297D"/>
    <w:rsid w:val="00283131"/>
    <w:rsid w:val="002841AC"/>
    <w:rsid w:val="00284A0A"/>
    <w:rsid w:val="00285273"/>
    <w:rsid w:val="002875B5"/>
    <w:rsid w:val="00290DD0"/>
    <w:rsid w:val="002912DF"/>
    <w:rsid w:val="0029246B"/>
    <w:rsid w:val="00293B36"/>
    <w:rsid w:val="002942B3"/>
    <w:rsid w:val="0029443B"/>
    <w:rsid w:val="002945AE"/>
    <w:rsid w:val="0029652C"/>
    <w:rsid w:val="002A0B8F"/>
    <w:rsid w:val="002A27BB"/>
    <w:rsid w:val="002A356E"/>
    <w:rsid w:val="002A3812"/>
    <w:rsid w:val="002A3817"/>
    <w:rsid w:val="002A4328"/>
    <w:rsid w:val="002A4573"/>
    <w:rsid w:val="002A51E9"/>
    <w:rsid w:val="002B213D"/>
    <w:rsid w:val="002B418F"/>
    <w:rsid w:val="002B4504"/>
    <w:rsid w:val="002B49D8"/>
    <w:rsid w:val="002B772F"/>
    <w:rsid w:val="002C0E12"/>
    <w:rsid w:val="002C141D"/>
    <w:rsid w:val="002C5A13"/>
    <w:rsid w:val="002C7E84"/>
    <w:rsid w:val="002D101B"/>
    <w:rsid w:val="002D211C"/>
    <w:rsid w:val="002D2CE7"/>
    <w:rsid w:val="002D3290"/>
    <w:rsid w:val="002D401E"/>
    <w:rsid w:val="002D5DBD"/>
    <w:rsid w:val="002D7705"/>
    <w:rsid w:val="002D7DBB"/>
    <w:rsid w:val="002E18CB"/>
    <w:rsid w:val="002E223B"/>
    <w:rsid w:val="002E5E42"/>
    <w:rsid w:val="002E6858"/>
    <w:rsid w:val="002E71FE"/>
    <w:rsid w:val="002F08C2"/>
    <w:rsid w:val="002F1939"/>
    <w:rsid w:val="002F2710"/>
    <w:rsid w:val="002F443A"/>
    <w:rsid w:val="002F5BC7"/>
    <w:rsid w:val="003015B4"/>
    <w:rsid w:val="00302758"/>
    <w:rsid w:val="00307790"/>
    <w:rsid w:val="00312751"/>
    <w:rsid w:val="003158C6"/>
    <w:rsid w:val="00315F55"/>
    <w:rsid w:val="003175AF"/>
    <w:rsid w:val="003175E9"/>
    <w:rsid w:val="003209FD"/>
    <w:rsid w:val="003222C4"/>
    <w:rsid w:val="003225BC"/>
    <w:rsid w:val="0033070D"/>
    <w:rsid w:val="003307F9"/>
    <w:rsid w:val="00333652"/>
    <w:rsid w:val="00334157"/>
    <w:rsid w:val="00334642"/>
    <w:rsid w:val="003365F8"/>
    <w:rsid w:val="0034103D"/>
    <w:rsid w:val="003425EE"/>
    <w:rsid w:val="00344495"/>
    <w:rsid w:val="00346084"/>
    <w:rsid w:val="003461F8"/>
    <w:rsid w:val="00346560"/>
    <w:rsid w:val="00350710"/>
    <w:rsid w:val="00350726"/>
    <w:rsid w:val="00350753"/>
    <w:rsid w:val="003511AA"/>
    <w:rsid w:val="003560C1"/>
    <w:rsid w:val="0036242B"/>
    <w:rsid w:val="003679A7"/>
    <w:rsid w:val="00371DB2"/>
    <w:rsid w:val="00372C72"/>
    <w:rsid w:val="00372FC1"/>
    <w:rsid w:val="003735CD"/>
    <w:rsid w:val="003739C5"/>
    <w:rsid w:val="003744F4"/>
    <w:rsid w:val="003755E7"/>
    <w:rsid w:val="003756A8"/>
    <w:rsid w:val="003763DC"/>
    <w:rsid w:val="003807B3"/>
    <w:rsid w:val="00382C9C"/>
    <w:rsid w:val="00383279"/>
    <w:rsid w:val="00384D0A"/>
    <w:rsid w:val="00385205"/>
    <w:rsid w:val="003863E8"/>
    <w:rsid w:val="00386E1F"/>
    <w:rsid w:val="00387840"/>
    <w:rsid w:val="00387A28"/>
    <w:rsid w:val="003907A3"/>
    <w:rsid w:val="003914A5"/>
    <w:rsid w:val="00392886"/>
    <w:rsid w:val="003952D0"/>
    <w:rsid w:val="00395B7F"/>
    <w:rsid w:val="003977EA"/>
    <w:rsid w:val="00397AC0"/>
    <w:rsid w:val="003A0678"/>
    <w:rsid w:val="003A305F"/>
    <w:rsid w:val="003A3423"/>
    <w:rsid w:val="003A6771"/>
    <w:rsid w:val="003B1123"/>
    <w:rsid w:val="003B128D"/>
    <w:rsid w:val="003B155D"/>
    <w:rsid w:val="003B15FF"/>
    <w:rsid w:val="003B2CA7"/>
    <w:rsid w:val="003B3496"/>
    <w:rsid w:val="003B3903"/>
    <w:rsid w:val="003B3EC7"/>
    <w:rsid w:val="003B5250"/>
    <w:rsid w:val="003B5338"/>
    <w:rsid w:val="003B54CF"/>
    <w:rsid w:val="003B56B0"/>
    <w:rsid w:val="003B68BC"/>
    <w:rsid w:val="003B6E79"/>
    <w:rsid w:val="003B799E"/>
    <w:rsid w:val="003B7FB8"/>
    <w:rsid w:val="003C14B5"/>
    <w:rsid w:val="003C21F7"/>
    <w:rsid w:val="003C45F4"/>
    <w:rsid w:val="003C5202"/>
    <w:rsid w:val="003C6FB0"/>
    <w:rsid w:val="003C754C"/>
    <w:rsid w:val="003D14B6"/>
    <w:rsid w:val="003D38D6"/>
    <w:rsid w:val="003D62C9"/>
    <w:rsid w:val="003D6632"/>
    <w:rsid w:val="003D68CE"/>
    <w:rsid w:val="003D70EF"/>
    <w:rsid w:val="003E0882"/>
    <w:rsid w:val="003E0D68"/>
    <w:rsid w:val="003E0E3B"/>
    <w:rsid w:val="003E11EF"/>
    <w:rsid w:val="003E12A0"/>
    <w:rsid w:val="003E4285"/>
    <w:rsid w:val="003E4C50"/>
    <w:rsid w:val="003E4EF8"/>
    <w:rsid w:val="003E5D0B"/>
    <w:rsid w:val="003E69BF"/>
    <w:rsid w:val="003F00C5"/>
    <w:rsid w:val="003F0D4D"/>
    <w:rsid w:val="003F189F"/>
    <w:rsid w:val="003F1A47"/>
    <w:rsid w:val="003F2581"/>
    <w:rsid w:val="003F6F79"/>
    <w:rsid w:val="00401C87"/>
    <w:rsid w:val="00401F4D"/>
    <w:rsid w:val="004036BE"/>
    <w:rsid w:val="00403DDA"/>
    <w:rsid w:val="0040506E"/>
    <w:rsid w:val="0040541C"/>
    <w:rsid w:val="00405E2E"/>
    <w:rsid w:val="00406E59"/>
    <w:rsid w:val="00411488"/>
    <w:rsid w:val="00415609"/>
    <w:rsid w:val="00415737"/>
    <w:rsid w:val="00416F99"/>
    <w:rsid w:val="004206CB"/>
    <w:rsid w:val="004215C5"/>
    <w:rsid w:val="00421794"/>
    <w:rsid w:val="00421FD2"/>
    <w:rsid w:val="00422822"/>
    <w:rsid w:val="00424B40"/>
    <w:rsid w:val="00425A76"/>
    <w:rsid w:val="00434306"/>
    <w:rsid w:val="004359B5"/>
    <w:rsid w:val="00437169"/>
    <w:rsid w:val="004372BE"/>
    <w:rsid w:val="004410B3"/>
    <w:rsid w:val="00441DDA"/>
    <w:rsid w:val="004422C0"/>
    <w:rsid w:val="00443CA9"/>
    <w:rsid w:val="0044456A"/>
    <w:rsid w:val="00445401"/>
    <w:rsid w:val="00445EE0"/>
    <w:rsid w:val="0044741B"/>
    <w:rsid w:val="004505C3"/>
    <w:rsid w:val="00450AB7"/>
    <w:rsid w:val="004525EA"/>
    <w:rsid w:val="00453DBB"/>
    <w:rsid w:val="00453E8E"/>
    <w:rsid w:val="00456018"/>
    <w:rsid w:val="00456067"/>
    <w:rsid w:val="00456CE9"/>
    <w:rsid w:val="004614F9"/>
    <w:rsid w:val="00461A80"/>
    <w:rsid w:val="004639DF"/>
    <w:rsid w:val="00464D07"/>
    <w:rsid w:val="00465352"/>
    <w:rsid w:val="00471C48"/>
    <w:rsid w:val="00473928"/>
    <w:rsid w:val="00473A16"/>
    <w:rsid w:val="00473DA5"/>
    <w:rsid w:val="00474FFB"/>
    <w:rsid w:val="0047555F"/>
    <w:rsid w:val="004804AF"/>
    <w:rsid w:val="00480992"/>
    <w:rsid w:val="004814DD"/>
    <w:rsid w:val="00482B4B"/>
    <w:rsid w:val="00482E97"/>
    <w:rsid w:val="00483B06"/>
    <w:rsid w:val="00483D72"/>
    <w:rsid w:val="00484418"/>
    <w:rsid w:val="0048748D"/>
    <w:rsid w:val="00490A8B"/>
    <w:rsid w:val="00490D00"/>
    <w:rsid w:val="0049132E"/>
    <w:rsid w:val="004918A1"/>
    <w:rsid w:val="00491C7F"/>
    <w:rsid w:val="00491E38"/>
    <w:rsid w:val="00492681"/>
    <w:rsid w:val="00493CA0"/>
    <w:rsid w:val="00495B02"/>
    <w:rsid w:val="00497E4C"/>
    <w:rsid w:val="004A1F96"/>
    <w:rsid w:val="004A40D9"/>
    <w:rsid w:val="004A4993"/>
    <w:rsid w:val="004A57B6"/>
    <w:rsid w:val="004A5FFE"/>
    <w:rsid w:val="004A7454"/>
    <w:rsid w:val="004B1AF7"/>
    <w:rsid w:val="004B22B1"/>
    <w:rsid w:val="004B28C8"/>
    <w:rsid w:val="004B3431"/>
    <w:rsid w:val="004B748A"/>
    <w:rsid w:val="004B7C66"/>
    <w:rsid w:val="004B7E74"/>
    <w:rsid w:val="004C090D"/>
    <w:rsid w:val="004C177C"/>
    <w:rsid w:val="004C28B8"/>
    <w:rsid w:val="004C2AF5"/>
    <w:rsid w:val="004C3882"/>
    <w:rsid w:val="004D1379"/>
    <w:rsid w:val="004D1AA2"/>
    <w:rsid w:val="004D2A87"/>
    <w:rsid w:val="004D49BD"/>
    <w:rsid w:val="004D58B9"/>
    <w:rsid w:val="004D5A52"/>
    <w:rsid w:val="004D6C9F"/>
    <w:rsid w:val="004D7563"/>
    <w:rsid w:val="004D7E02"/>
    <w:rsid w:val="004E130F"/>
    <w:rsid w:val="004E22E5"/>
    <w:rsid w:val="004E5B6F"/>
    <w:rsid w:val="004E684D"/>
    <w:rsid w:val="004E6F78"/>
    <w:rsid w:val="004E7109"/>
    <w:rsid w:val="004E7521"/>
    <w:rsid w:val="004E7EDB"/>
    <w:rsid w:val="004F0E6D"/>
    <w:rsid w:val="004F0EA9"/>
    <w:rsid w:val="004F3174"/>
    <w:rsid w:val="004F4BF9"/>
    <w:rsid w:val="004F52D4"/>
    <w:rsid w:val="004F665D"/>
    <w:rsid w:val="0050211A"/>
    <w:rsid w:val="00503263"/>
    <w:rsid w:val="00503EF5"/>
    <w:rsid w:val="005051F9"/>
    <w:rsid w:val="0050739C"/>
    <w:rsid w:val="0051196A"/>
    <w:rsid w:val="005150AE"/>
    <w:rsid w:val="00515474"/>
    <w:rsid w:val="00515549"/>
    <w:rsid w:val="00515C1A"/>
    <w:rsid w:val="005163FE"/>
    <w:rsid w:val="00516684"/>
    <w:rsid w:val="005214F5"/>
    <w:rsid w:val="00522D1E"/>
    <w:rsid w:val="00526DEA"/>
    <w:rsid w:val="00527D08"/>
    <w:rsid w:val="00532EB2"/>
    <w:rsid w:val="00533825"/>
    <w:rsid w:val="0053495C"/>
    <w:rsid w:val="005362FC"/>
    <w:rsid w:val="00536921"/>
    <w:rsid w:val="00537083"/>
    <w:rsid w:val="00543C3D"/>
    <w:rsid w:val="00544786"/>
    <w:rsid w:val="005453AA"/>
    <w:rsid w:val="00545C62"/>
    <w:rsid w:val="00546379"/>
    <w:rsid w:val="00547217"/>
    <w:rsid w:val="00547904"/>
    <w:rsid w:val="005505D7"/>
    <w:rsid w:val="00552458"/>
    <w:rsid w:val="005524B7"/>
    <w:rsid w:val="0055445B"/>
    <w:rsid w:val="00560BD0"/>
    <w:rsid w:val="00561B46"/>
    <w:rsid w:val="00562FBA"/>
    <w:rsid w:val="00564040"/>
    <w:rsid w:val="00571956"/>
    <w:rsid w:val="00571A26"/>
    <w:rsid w:val="00572720"/>
    <w:rsid w:val="00573E5A"/>
    <w:rsid w:val="00573F18"/>
    <w:rsid w:val="00575B45"/>
    <w:rsid w:val="00576C7E"/>
    <w:rsid w:val="005801FE"/>
    <w:rsid w:val="00580800"/>
    <w:rsid w:val="00580C9F"/>
    <w:rsid w:val="005814A9"/>
    <w:rsid w:val="00583611"/>
    <w:rsid w:val="00583C01"/>
    <w:rsid w:val="00583FB3"/>
    <w:rsid w:val="00584087"/>
    <w:rsid w:val="00585096"/>
    <w:rsid w:val="00585909"/>
    <w:rsid w:val="00586E6F"/>
    <w:rsid w:val="00587996"/>
    <w:rsid w:val="0059107A"/>
    <w:rsid w:val="00591172"/>
    <w:rsid w:val="005933EA"/>
    <w:rsid w:val="005942DF"/>
    <w:rsid w:val="00594C20"/>
    <w:rsid w:val="00595F96"/>
    <w:rsid w:val="00596679"/>
    <w:rsid w:val="005A1356"/>
    <w:rsid w:val="005A1C40"/>
    <w:rsid w:val="005A25CA"/>
    <w:rsid w:val="005A3384"/>
    <w:rsid w:val="005A3649"/>
    <w:rsid w:val="005A571F"/>
    <w:rsid w:val="005A6103"/>
    <w:rsid w:val="005A639D"/>
    <w:rsid w:val="005B0CD1"/>
    <w:rsid w:val="005B1615"/>
    <w:rsid w:val="005B1777"/>
    <w:rsid w:val="005B17B6"/>
    <w:rsid w:val="005B1A0D"/>
    <w:rsid w:val="005B1ED0"/>
    <w:rsid w:val="005B59FD"/>
    <w:rsid w:val="005B5A75"/>
    <w:rsid w:val="005B5AEA"/>
    <w:rsid w:val="005B5E19"/>
    <w:rsid w:val="005B662A"/>
    <w:rsid w:val="005B6F4E"/>
    <w:rsid w:val="005B7030"/>
    <w:rsid w:val="005B7104"/>
    <w:rsid w:val="005C1A56"/>
    <w:rsid w:val="005C3FFB"/>
    <w:rsid w:val="005C544E"/>
    <w:rsid w:val="005C5B00"/>
    <w:rsid w:val="005C67C7"/>
    <w:rsid w:val="005C6FBA"/>
    <w:rsid w:val="005C7278"/>
    <w:rsid w:val="005C79DB"/>
    <w:rsid w:val="005D0AC7"/>
    <w:rsid w:val="005D0DD0"/>
    <w:rsid w:val="005D1973"/>
    <w:rsid w:val="005D22DA"/>
    <w:rsid w:val="005D35FB"/>
    <w:rsid w:val="005D4BBA"/>
    <w:rsid w:val="005D4E49"/>
    <w:rsid w:val="005D53CD"/>
    <w:rsid w:val="005D75D1"/>
    <w:rsid w:val="005E24B8"/>
    <w:rsid w:val="005E4E93"/>
    <w:rsid w:val="005E6086"/>
    <w:rsid w:val="005E6817"/>
    <w:rsid w:val="005F1978"/>
    <w:rsid w:val="005F3BC5"/>
    <w:rsid w:val="005F5FB2"/>
    <w:rsid w:val="006013FD"/>
    <w:rsid w:val="00602E21"/>
    <w:rsid w:val="0060634E"/>
    <w:rsid w:val="006065B6"/>
    <w:rsid w:val="0061122B"/>
    <w:rsid w:val="00611417"/>
    <w:rsid w:val="00614ACC"/>
    <w:rsid w:val="00615942"/>
    <w:rsid w:val="00617A2E"/>
    <w:rsid w:val="00624853"/>
    <w:rsid w:val="006262D7"/>
    <w:rsid w:val="00626A5A"/>
    <w:rsid w:val="00627725"/>
    <w:rsid w:val="0063063B"/>
    <w:rsid w:val="0063489D"/>
    <w:rsid w:val="0063658C"/>
    <w:rsid w:val="00640ECB"/>
    <w:rsid w:val="006414AE"/>
    <w:rsid w:val="00645940"/>
    <w:rsid w:val="00650DAD"/>
    <w:rsid w:val="006510F7"/>
    <w:rsid w:val="00651653"/>
    <w:rsid w:val="006554D8"/>
    <w:rsid w:val="00655D12"/>
    <w:rsid w:val="006569AC"/>
    <w:rsid w:val="006636FE"/>
    <w:rsid w:val="00663A77"/>
    <w:rsid w:val="00664185"/>
    <w:rsid w:val="00667361"/>
    <w:rsid w:val="006703FB"/>
    <w:rsid w:val="00671233"/>
    <w:rsid w:val="0067337F"/>
    <w:rsid w:val="006739C6"/>
    <w:rsid w:val="006739C9"/>
    <w:rsid w:val="0067437D"/>
    <w:rsid w:val="006746E5"/>
    <w:rsid w:val="00676127"/>
    <w:rsid w:val="00684202"/>
    <w:rsid w:val="00691558"/>
    <w:rsid w:val="006926D0"/>
    <w:rsid w:val="00693615"/>
    <w:rsid w:val="00693C16"/>
    <w:rsid w:val="00694499"/>
    <w:rsid w:val="006944EB"/>
    <w:rsid w:val="0069492F"/>
    <w:rsid w:val="00695BA5"/>
    <w:rsid w:val="006968C6"/>
    <w:rsid w:val="00696D00"/>
    <w:rsid w:val="00696DB3"/>
    <w:rsid w:val="00696E00"/>
    <w:rsid w:val="00696F3E"/>
    <w:rsid w:val="00697CAA"/>
    <w:rsid w:val="006A09C3"/>
    <w:rsid w:val="006A1322"/>
    <w:rsid w:val="006A2D8F"/>
    <w:rsid w:val="006A4D90"/>
    <w:rsid w:val="006A68F9"/>
    <w:rsid w:val="006A6D5E"/>
    <w:rsid w:val="006A7A48"/>
    <w:rsid w:val="006B18ED"/>
    <w:rsid w:val="006B36E7"/>
    <w:rsid w:val="006B49D0"/>
    <w:rsid w:val="006B4DD0"/>
    <w:rsid w:val="006B5B0E"/>
    <w:rsid w:val="006C5EB2"/>
    <w:rsid w:val="006C6115"/>
    <w:rsid w:val="006C6707"/>
    <w:rsid w:val="006D05D6"/>
    <w:rsid w:val="006D06D3"/>
    <w:rsid w:val="006D120C"/>
    <w:rsid w:val="006D17D8"/>
    <w:rsid w:val="006D2482"/>
    <w:rsid w:val="006D29BC"/>
    <w:rsid w:val="006D4200"/>
    <w:rsid w:val="006D43A0"/>
    <w:rsid w:val="006D4456"/>
    <w:rsid w:val="006D6B3A"/>
    <w:rsid w:val="006D6BE5"/>
    <w:rsid w:val="006D6E59"/>
    <w:rsid w:val="006E04D1"/>
    <w:rsid w:val="006E1CD3"/>
    <w:rsid w:val="006E1D79"/>
    <w:rsid w:val="006E4D50"/>
    <w:rsid w:val="006E61B7"/>
    <w:rsid w:val="006E6B77"/>
    <w:rsid w:val="006F0251"/>
    <w:rsid w:val="006F047C"/>
    <w:rsid w:val="006F15C1"/>
    <w:rsid w:val="006F1F51"/>
    <w:rsid w:val="006F347F"/>
    <w:rsid w:val="006F4AE1"/>
    <w:rsid w:val="006F6268"/>
    <w:rsid w:val="006F6500"/>
    <w:rsid w:val="00701626"/>
    <w:rsid w:val="00704242"/>
    <w:rsid w:val="00704CCC"/>
    <w:rsid w:val="007058E0"/>
    <w:rsid w:val="00705E83"/>
    <w:rsid w:val="00711D89"/>
    <w:rsid w:val="00712DE7"/>
    <w:rsid w:val="00715481"/>
    <w:rsid w:val="007155CC"/>
    <w:rsid w:val="00715784"/>
    <w:rsid w:val="0071702E"/>
    <w:rsid w:val="007179BA"/>
    <w:rsid w:val="00717F27"/>
    <w:rsid w:val="007201FB"/>
    <w:rsid w:val="00723546"/>
    <w:rsid w:val="007257F6"/>
    <w:rsid w:val="007300FE"/>
    <w:rsid w:val="007322EA"/>
    <w:rsid w:val="007327B0"/>
    <w:rsid w:val="00733407"/>
    <w:rsid w:val="00736976"/>
    <w:rsid w:val="00736A84"/>
    <w:rsid w:val="00736F6F"/>
    <w:rsid w:val="007427B5"/>
    <w:rsid w:val="00742DC9"/>
    <w:rsid w:val="00743212"/>
    <w:rsid w:val="00743BF0"/>
    <w:rsid w:val="007447E4"/>
    <w:rsid w:val="00744ACC"/>
    <w:rsid w:val="00750692"/>
    <w:rsid w:val="00751605"/>
    <w:rsid w:val="007526D0"/>
    <w:rsid w:val="00752F10"/>
    <w:rsid w:val="007558D5"/>
    <w:rsid w:val="00755BD9"/>
    <w:rsid w:val="00755C9A"/>
    <w:rsid w:val="00756A55"/>
    <w:rsid w:val="00760D84"/>
    <w:rsid w:val="00762D6D"/>
    <w:rsid w:val="00764D65"/>
    <w:rsid w:val="00766A4B"/>
    <w:rsid w:val="007677B9"/>
    <w:rsid w:val="00770B21"/>
    <w:rsid w:val="00770C28"/>
    <w:rsid w:val="007714AC"/>
    <w:rsid w:val="007750CE"/>
    <w:rsid w:val="007760D3"/>
    <w:rsid w:val="0077693D"/>
    <w:rsid w:val="00780A46"/>
    <w:rsid w:val="00781E53"/>
    <w:rsid w:val="00782808"/>
    <w:rsid w:val="00782C22"/>
    <w:rsid w:val="00782C77"/>
    <w:rsid w:val="00782F08"/>
    <w:rsid w:val="0078377D"/>
    <w:rsid w:val="00783D15"/>
    <w:rsid w:val="00785911"/>
    <w:rsid w:val="00786095"/>
    <w:rsid w:val="00790332"/>
    <w:rsid w:val="00791249"/>
    <w:rsid w:val="00794390"/>
    <w:rsid w:val="00797E0D"/>
    <w:rsid w:val="007A0F16"/>
    <w:rsid w:val="007A1A1B"/>
    <w:rsid w:val="007A3694"/>
    <w:rsid w:val="007A3BFB"/>
    <w:rsid w:val="007A786B"/>
    <w:rsid w:val="007B0A40"/>
    <w:rsid w:val="007B0A66"/>
    <w:rsid w:val="007B1F90"/>
    <w:rsid w:val="007B3C6F"/>
    <w:rsid w:val="007B3D3D"/>
    <w:rsid w:val="007B4BD6"/>
    <w:rsid w:val="007B7836"/>
    <w:rsid w:val="007C0221"/>
    <w:rsid w:val="007C1630"/>
    <w:rsid w:val="007C19B7"/>
    <w:rsid w:val="007C19F7"/>
    <w:rsid w:val="007C3092"/>
    <w:rsid w:val="007C3C9B"/>
    <w:rsid w:val="007C566B"/>
    <w:rsid w:val="007C67E4"/>
    <w:rsid w:val="007C6EE4"/>
    <w:rsid w:val="007C7D41"/>
    <w:rsid w:val="007D18A6"/>
    <w:rsid w:val="007D29FB"/>
    <w:rsid w:val="007D3FC3"/>
    <w:rsid w:val="007D4148"/>
    <w:rsid w:val="007D4467"/>
    <w:rsid w:val="007D7088"/>
    <w:rsid w:val="007E2004"/>
    <w:rsid w:val="007E26C2"/>
    <w:rsid w:val="007E29FA"/>
    <w:rsid w:val="007E5152"/>
    <w:rsid w:val="007E7A7A"/>
    <w:rsid w:val="007F075E"/>
    <w:rsid w:val="007F0770"/>
    <w:rsid w:val="007F17CC"/>
    <w:rsid w:val="007F1AF1"/>
    <w:rsid w:val="007F1BE3"/>
    <w:rsid w:val="007F1C79"/>
    <w:rsid w:val="007F207D"/>
    <w:rsid w:val="007F2B26"/>
    <w:rsid w:val="007F3B12"/>
    <w:rsid w:val="007F3DA0"/>
    <w:rsid w:val="007F473B"/>
    <w:rsid w:val="007F4967"/>
    <w:rsid w:val="007F6815"/>
    <w:rsid w:val="0080123C"/>
    <w:rsid w:val="008013A3"/>
    <w:rsid w:val="00802A1A"/>
    <w:rsid w:val="00804846"/>
    <w:rsid w:val="00805B7F"/>
    <w:rsid w:val="008061CD"/>
    <w:rsid w:val="00807D13"/>
    <w:rsid w:val="00807EF5"/>
    <w:rsid w:val="00807FAE"/>
    <w:rsid w:val="00810E29"/>
    <w:rsid w:val="008139C8"/>
    <w:rsid w:val="00816B09"/>
    <w:rsid w:val="008206A2"/>
    <w:rsid w:val="00820DFF"/>
    <w:rsid w:val="0082157B"/>
    <w:rsid w:val="008219ED"/>
    <w:rsid w:val="00824220"/>
    <w:rsid w:val="00824D5E"/>
    <w:rsid w:val="0082530B"/>
    <w:rsid w:val="00825B0A"/>
    <w:rsid w:val="0082701F"/>
    <w:rsid w:val="0082791A"/>
    <w:rsid w:val="00830D75"/>
    <w:rsid w:val="008328E3"/>
    <w:rsid w:val="00833AF6"/>
    <w:rsid w:val="008355D1"/>
    <w:rsid w:val="0083770A"/>
    <w:rsid w:val="00837D87"/>
    <w:rsid w:val="008404B7"/>
    <w:rsid w:val="0084061E"/>
    <w:rsid w:val="008408B5"/>
    <w:rsid w:val="0084143B"/>
    <w:rsid w:val="00841AC0"/>
    <w:rsid w:val="00842F88"/>
    <w:rsid w:val="008430F9"/>
    <w:rsid w:val="008445FD"/>
    <w:rsid w:val="0084485C"/>
    <w:rsid w:val="00845035"/>
    <w:rsid w:val="008458F7"/>
    <w:rsid w:val="00846C4F"/>
    <w:rsid w:val="0085015F"/>
    <w:rsid w:val="008502BC"/>
    <w:rsid w:val="00851547"/>
    <w:rsid w:val="00852159"/>
    <w:rsid w:val="008524BF"/>
    <w:rsid w:val="008524F3"/>
    <w:rsid w:val="008535FE"/>
    <w:rsid w:val="00854E3B"/>
    <w:rsid w:val="008555E9"/>
    <w:rsid w:val="0085592D"/>
    <w:rsid w:val="00862455"/>
    <w:rsid w:val="00866282"/>
    <w:rsid w:val="00866E74"/>
    <w:rsid w:val="008707B8"/>
    <w:rsid w:val="0087352F"/>
    <w:rsid w:val="0087370F"/>
    <w:rsid w:val="008740A6"/>
    <w:rsid w:val="00880985"/>
    <w:rsid w:val="008868CF"/>
    <w:rsid w:val="008901D2"/>
    <w:rsid w:val="008916F9"/>
    <w:rsid w:val="0089198A"/>
    <w:rsid w:val="00891B4A"/>
    <w:rsid w:val="00893A22"/>
    <w:rsid w:val="008974DA"/>
    <w:rsid w:val="008978C6"/>
    <w:rsid w:val="00897CB0"/>
    <w:rsid w:val="008A3AEA"/>
    <w:rsid w:val="008A5464"/>
    <w:rsid w:val="008A59E0"/>
    <w:rsid w:val="008A6204"/>
    <w:rsid w:val="008A69BD"/>
    <w:rsid w:val="008A7B44"/>
    <w:rsid w:val="008B0D60"/>
    <w:rsid w:val="008B207F"/>
    <w:rsid w:val="008B22BD"/>
    <w:rsid w:val="008C20F1"/>
    <w:rsid w:val="008C29F5"/>
    <w:rsid w:val="008C3689"/>
    <w:rsid w:val="008C4015"/>
    <w:rsid w:val="008C42CA"/>
    <w:rsid w:val="008C6206"/>
    <w:rsid w:val="008C6C57"/>
    <w:rsid w:val="008C7F87"/>
    <w:rsid w:val="008C7FFB"/>
    <w:rsid w:val="008D1582"/>
    <w:rsid w:val="008D2761"/>
    <w:rsid w:val="008D2CE1"/>
    <w:rsid w:val="008D400B"/>
    <w:rsid w:val="008D4DAF"/>
    <w:rsid w:val="008D540D"/>
    <w:rsid w:val="008D69A9"/>
    <w:rsid w:val="008D6B00"/>
    <w:rsid w:val="008D6F2A"/>
    <w:rsid w:val="008E2A48"/>
    <w:rsid w:val="008E2FF1"/>
    <w:rsid w:val="008E319B"/>
    <w:rsid w:val="008E3678"/>
    <w:rsid w:val="008E3CFD"/>
    <w:rsid w:val="008E68CD"/>
    <w:rsid w:val="008F0237"/>
    <w:rsid w:val="008F1F4C"/>
    <w:rsid w:val="008F2EA3"/>
    <w:rsid w:val="008F359A"/>
    <w:rsid w:val="008F36F8"/>
    <w:rsid w:val="008F3C89"/>
    <w:rsid w:val="008F55A2"/>
    <w:rsid w:val="008F691E"/>
    <w:rsid w:val="009001C8"/>
    <w:rsid w:val="0090052B"/>
    <w:rsid w:val="009006C5"/>
    <w:rsid w:val="00901A20"/>
    <w:rsid w:val="00902AF2"/>
    <w:rsid w:val="009038A3"/>
    <w:rsid w:val="009049BD"/>
    <w:rsid w:val="00906446"/>
    <w:rsid w:val="00906D6B"/>
    <w:rsid w:val="0091452A"/>
    <w:rsid w:val="00914C8C"/>
    <w:rsid w:val="00914E3D"/>
    <w:rsid w:val="00915EF7"/>
    <w:rsid w:val="00920338"/>
    <w:rsid w:val="009236FE"/>
    <w:rsid w:val="009304E8"/>
    <w:rsid w:val="009306EA"/>
    <w:rsid w:val="0093075D"/>
    <w:rsid w:val="00931343"/>
    <w:rsid w:val="00932597"/>
    <w:rsid w:val="0093264E"/>
    <w:rsid w:val="00932E88"/>
    <w:rsid w:val="0093334D"/>
    <w:rsid w:val="00933B8B"/>
    <w:rsid w:val="00935FD4"/>
    <w:rsid w:val="00936A1C"/>
    <w:rsid w:val="00937F54"/>
    <w:rsid w:val="0094066F"/>
    <w:rsid w:val="009426A6"/>
    <w:rsid w:val="00942F6D"/>
    <w:rsid w:val="009440EA"/>
    <w:rsid w:val="00945764"/>
    <w:rsid w:val="00945ABD"/>
    <w:rsid w:val="00945F9D"/>
    <w:rsid w:val="009462E6"/>
    <w:rsid w:val="00946802"/>
    <w:rsid w:val="0094761D"/>
    <w:rsid w:val="00952422"/>
    <w:rsid w:val="00953F36"/>
    <w:rsid w:val="00957A0B"/>
    <w:rsid w:val="009606FD"/>
    <w:rsid w:val="0096273A"/>
    <w:rsid w:val="0096358D"/>
    <w:rsid w:val="0096496B"/>
    <w:rsid w:val="00964995"/>
    <w:rsid w:val="00965F03"/>
    <w:rsid w:val="0096677D"/>
    <w:rsid w:val="00966A9F"/>
    <w:rsid w:val="00967440"/>
    <w:rsid w:val="00967F52"/>
    <w:rsid w:val="00970A97"/>
    <w:rsid w:val="00973849"/>
    <w:rsid w:val="00976761"/>
    <w:rsid w:val="009776AA"/>
    <w:rsid w:val="00977C1A"/>
    <w:rsid w:val="00977E96"/>
    <w:rsid w:val="00981973"/>
    <w:rsid w:val="009833CB"/>
    <w:rsid w:val="009845C2"/>
    <w:rsid w:val="00985C98"/>
    <w:rsid w:val="009917FB"/>
    <w:rsid w:val="009927A3"/>
    <w:rsid w:val="00992FF3"/>
    <w:rsid w:val="00994174"/>
    <w:rsid w:val="00994C24"/>
    <w:rsid w:val="00995414"/>
    <w:rsid w:val="00996C1F"/>
    <w:rsid w:val="009A00F3"/>
    <w:rsid w:val="009A1C36"/>
    <w:rsid w:val="009A1DBC"/>
    <w:rsid w:val="009A25A0"/>
    <w:rsid w:val="009A30B4"/>
    <w:rsid w:val="009A3A8B"/>
    <w:rsid w:val="009A3A91"/>
    <w:rsid w:val="009A4172"/>
    <w:rsid w:val="009A539E"/>
    <w:rsid w:val="009A7FC4"/>
    <w:rsid w:val="009B2470"/>
    <w:rsid w:val="009B2C1A"/>
    <w:rsid w:val="009B2DF8"/>
    <w:rsid w:val="009B5453"/>
    <w:rsid w:val="009B6ADC"/>
    <w:rsid w:val="009C33C4"/>
    <w:rsid w:val="009C5D05"/>
    <w:rsid w:val="009C654C"/>
    <w:rsid w:val="009D0301"/>
    <w:rsid w:val="009D1F83"/>
    <w:rsid w:val="009D269B"/>
    <w:rsid w:val="009D3400"/>
    <w:rsid w:val="009D6E67"/>
    <w:rsid w:val="009D6FAA"/>
    <w:rsid w:val="009E0060"/>
    <w:rsid w:val="009E168D"/>
    <w:rsid w:val="009E1B86"/>
    <w:rsid w:val="009E244F"/>
    <w:rsid w:val="009E2E8A"/>
    <w:rsid w:val="009E5724"/>
    <w:rsid w:val="009E5FD5"/>
    <w:rsid w:val="009E61F9"/>
    <w:rsid w:val="009E7066"/>
    <w:rsid w:val="009E784D"/>
    <w:rsid w:val="009F0F8A"/>
    <w:rsid w:val="009F40DC"/>
    <w:rsid w:val="009F44E9"/>
    <w:rsid w:val="009F557E"/>
    <w:rsid w:val="009F6685"/>
    <w:rsid w:val="009F76A1"/>
    <w:rsid w:val="00A00982"/>
    <w:rsid w:val="00A00C76"/>
    <w:rsid w:val="00A01DFA"/>
    <w:rsid w:val="00A0310C"/>
    <w:rsid w:val="00A035D2"/>
    <w:rsid w:val="00A0386A"/>
    <w:rsid w:val="00A04847"/>
    <w:rsid w:val="00A068F7"/>
    <w:rsid w:val="00A11D0A"/>
    <w:rsid w:val="00A120A0"/>
    <w:rsid w:val="00A1273D"/>
    <w:rsid w:val="00A143C5"/>
    <w:rsid w:val="00A15FD3"/>
    <w:rsid w:val="00A167C2"/>
    <w:rsid w:val="00A17DBA"/>
    <w:rsid w:val="00A2104F"/>
    <w:rsid w:val="00A23A8E"/>
    <w:rsid w:val="00A23E79"/>
    <w:rsid w:val="00A312F8"/>
    <w:rsid w:val="00A31FAC"/>
    <w:rsid w:val="00A331C0"/>
    <w:rsid w:val="00A349B0"/>
    <w:rsid w:val="00A37020"/>
    <w:rsid w:val="00A404BE"/>
    <w:rsid w:val="00A40D25"/>
    <w:rsid w:val="00A41179"/>
    <w:rsid w:val="00A42A6C"/>
    <w:rsid w:val="00A42D92"/>
    <w:rsid w:val="00A438B6"/>
    <w:rsid w:val="00A44908"/>
    <w:rsid w:val="00A4499D"/>
    <w:rsid w:val="00A47239"/>
    <w:rsid w:val="00A5065D"/>
    <w:rsid w:val="00A577DA"/>
    <w:rsid w:val="00A6000C"/>
    <w:rsid w:val="00A6165E"/>
    <w:rsid w:val="00A62031"/>
    <w:rsid w:val="00A627C5"/>
    <w:rsid w:val="00A62980"/>
    <w:rsid w:val="00A63862"/>
    <w:rsid w:val="00A64D1F"/>
    <w:rsid w:val="00A706DB"/>
    <w:rsid w:val="00A728DD"/>
    <w:rsid w:val="00A7329A"/>
    <w:rsid w:val="00A735DF"/>
    <w:rsid w:val="00A74BAC"/>
    <w:rsid w:val="00A74CCC"/>
    <w:rsid w:val="00A750D3"/>
    <w:rsid w:val="00A75E1B"/>
    <w:rsid w:val="00A76D5C"/>
    <w:rsid w:val="00A8170B"/>
    <w:rsid w:val="00A8185D"/>
    <w:rsid w:val="00A82952"/>
    <w:rsid w:val="00A84FF5"/>
    <w:rsid w:val="00A85662"/>
    <w:rsid w:val="00A858E7"/>
    <w:rsid w:val="00A87241"/>
    <w:rsid w:val="00A87A6E"/>
    <w:rsid w:val="00A91131"/>
    <w:rsid w:val="00A92A35"/>
    <w:rsid w:val="00A932C3"/>
    <w:rsid w:val="00A93486"/>
    <w:rsid w:val="00A948E0"/>
    <w:rsid w:val="00A9732A"/>
    <w:rsid w:val="00A97AB8"/>
    <w:rsid w:val="00AA3A27"/>
    <w:rsid w:val="00AA41A8"/>
    <w:rsid w:val="00AA441F"/>
    <w:rsid w:val="00AA5523"/>
    <w:rsid w:val="00AA5920"/>
    <w:rsid w:val="00AA6E11"/>
    <w:rsid w:val="00AA7A61"/>
    <w:rsid w:val="00AB1B84"/>
    <w:rsid w:val="00AB217C"/>
    <w:rsid w:val="00AB2288"/>
    <w:rsid w:val="00AB2E1D"/>
    <w:rsid w:val="00AB4546"/>
    <w:rsid w:val="00AB454C"/>
    <w:rsid w:val="00AB5947"/>
    <w:rsid w:val="00AC0237"/>
    <w:rsid w:val="00AC1E39"/>
    <w:rsid w:val="00AC20E3"/>
    <w:rsid w:val="00AC34B0"/>
    <w:rsid w:val="00AC38FC"/>
    <w:rsid w:val="00AC3D7D"/>
    <w:rsid w:val="00AC40A0"/>
    <w:rsid w:val="00AC501E"/>
    <w:rsid w:val="00AC58E5"/>
    <w:rsid w:val="00AC6542"/>
    <w:rsid w:val="00AD463C"/>
    <w:rsid w:val="00AE03CC"/>
    <w:rsid w:val="00AE1BE1"/>
    <w:rsid w:val="00AE1D9A"/>
    <w:rsid w:val="00AE6071"/>
    <w:rsid w:val="00AF0302"/>
    <w:rsid w:val="00AF13D3"/>
    <w:rsid w:val="00AF3233"/>
    <w:rsid w:val="00AF3628"/>
    <w:rsid w:val="00AF39A4"/>
    <w:rsid w:val="00AF45AB"/>
    <w:rsid w:val="00AF45D7"/>
    <w:rsid w:val="00AF49C3"/>
    <w:rsid w:val="00AF4E80"/>
    <w:rsid w:val="00AF51D8"/>
    <w:rsid w:val="00B00242"/>
    <w:rsid w:val="00B05248"/>
    <w:rsid w:val="00B06818"/>
    <w:rsid w:val="00B06A4F"/>
    <w:rsid w:val="00B07449"/>
    <w:rsid w:val="00B124FD"/>
    <w:rsid w:val="00B125B5"/>
    <w:rsid w:val="00B127A4"/>
    <w:rsid w:val="00B16864"/>
    <w:rsid w:val="00B16A24"/>
    <w:rsid w:val="00B2075A"/>
    <w:rsid w:val="00B21571"/>
    <w:rsid w:val="00B230E3"/>
    <w:rsid w:val="00B24378"/>
    <w:rsid w:val="00B2485A"/>
    <w:rsid w:val="00B256B8"/>
    <w:rsid w:val="00B3010A"/>
    <w:rsid w:val="00B327CD"/>
    <w:rsid w:val="00B370C9"/>
    <w:rsid w:val="00B40368"/>
    <w:rsid w:val="00B43E1C"/>
    <w:rsid w:val="00B443ED"/>
    <w:rsid w:val="00B455EA"/>
    <w:rsid w:val="00B45A11"/>
    <w:rsid w:val="00B47063"/>
    <w:rsid w:val="00B516A6"/>
    <w:rsid w:val="00B52587"/>
    <w:rsid w:val="00B54515"/>
    <w:rsid w:val="00B54F02"/>
    <w:rsid w:val="00B55D15"/>
    <w:rsid w:val="00B56A3C"/>
    <w:rsid w:val="00B56FD6"/>
    <w:rsid w:val="00B615A4"/>
    <w:rsid w:val="00B62061"/>
    <w:rsid w:val="00B6572F"/>
    <w:rsid w:val="00B67E35"/>
    <w:rsid w:val="00B67F22"/>
    <w:rsid w:val="00B74ED6"/>
    <w:rsid w:val="00B76F2D"/>
    <w:rsid w:val="00B813C3"/>
    <w:rsid w:val="00B83309"/>
    <w:rsid w:val="00B85B2F"/>
    <w:rsid w:val="00B8646E"/>
    <w:rsid w:val="00B86D75"/>
    <w:rsid w:val="00B91AEC"/>
    <w:rsid w:val="00B9294F"/>
    <w:rsid w:val="00B947AE"/>
    <w:rsid w:val="00B94EAE"/>
    <w:rsid w:val="00B95600"/>
    <w:rsid w:val="00B972F5"/>
    <w:rsid w:val="00B97D3C"/>
    <w:rsid w:val="00BA1B13"/>
    <w:rsid w:val="00BA2660"/>
    <w:rsid w:val="00BA2F9D"/>
    <w:rsid w:val="00BA30C8"/>
    <w:rsid w:val="00BA4163"/>
    <w:rsid w:val="00BA5ECB"/>
    <w:rsid w:val="00BA73BF"/>
    <w:rsid w:val="00BB041A"/>
    <w:rsid w:val="00BB0693"/>
    <w:rsid w:val="00BB24DD"/>
    <w:rsid w:val="00BB3FD7"/>
    <w:rsid w:val="00BB5DD1"/>
    <w:rsid w:val="00BB7629"/>
    <w:rsid w:val="00BC00F5"/>
    <w:rsid w:val="00BC2B2D"/>
    <w:rsid w:val="00BC2EED"/>
    <w:rsid w:val="00BC384C"/>
    <w:rsid w:val="00BC3D83"/>
    <w:rsid w:val="00BC6E5C"/>
    <w:rsid w:val="00BD1C0C"/>
    <w:rsid w:val="00BD430A"/>
    <w:rsid w:val="00BD45AA"/>
    <w:rsid w:val="00BD4608"/>
    <w:rsid w:val="00BE05E6"/>
    <w:rsid w:val="00BE123E"/>
    <w:rsid w:val="00BE16C1"/>
    <w:rsid w:val="00BE2A5C"/>
    <w:rsid w:val="00BE3696"/>
    <w:rsid w:val="00BE47FB"/>
    <w:rsid w:val="00BF032F"/>
    <w:rsid w:val="00BF1518"/>
    <w:rsid w:val="00BF1772"/>
    <w:rsid w:val="00BF242E"/>
    <w:rsid w:val="00BF39EC"/>
    <w:rsid w:val="00BF40EB"/>
    <w:rsid w:val="00BF5B5C"/>
    <w:rsid w:val="00BF6CBC"/>
    <w:rsid w:val="00BF7071"/>
    <w:rsid w:val="00C004F8"/>
    <w:rsid w:val="00C009A8"/>
    <w:rsid w:val="00C01B7C"/>
    <w:rsid w:val="00C054C7"/>
    <w:rsid w:val="00C059C1"/>
    <w:rsid w:val="00C05BA8"/>
    <w:rsid w:val="00C0623E"/>
    <w:rsid w:val="00C06686"/>
    <w:rsid w:val="00C06785"/>
    <w:rsid w:val="00C07665"/>
    <w:rsid w:val="00C12D6B"/>
    <w:rsid w:val="00C135AE"/>
    <w:rsid w:val="00C13B30"/>
    <w:rsid w:val="00C1446D"/>
    <w:rsid w:val="00C14A2F"/>
    <w:rsid w:val="00C14AD9"/>
    <w:rsid w:val="00C17E37"/>
    <w:rsid w:val="00C20138"/>
    <w:rsid w:val="00C211AA"/>
    <w:rsid w:val="00C221FC"/>
    <w:rsid w:val="00C23A66"/>
    <w:rsid w:val="00C254DE"/>
    <w:rsid w:val="00C340ED"/>
    <w:rsid w:val="00C34B93"/>
    <w:rsid w:val="00C40966"/>
    <w:rsid w:val="00C40D31"/>
    <w:rsid w:val="00C426BE"/>
    <w:rsid w:val="00C42F40"/>
    <w:rsid w:val="00C45137"/>
    <w:rsid w:val="00C452B0"/>
    <w:rsid w:val="00C467B9"/>
    <w:rsid w:val="00C470FA"/>
    <w:rsid w:val="00C501CF"/>
    <w:rsid w:val="00C56136"/>
    <w:rsid w:val="00C573AA"/>
    <w:rsid w:val="00C61EC8"/>
    <w:rsid w:val="00C6218D"/>
    <w:rsid w:val="00C62900"/>
    <w:rsid w:val="00C6408A"/>
    <w:rsid w:val="00C64AC1"/>
    <w:rsid w:val="00C65742"/>
    <w:rsid w:val="00C662FC"/>
    <w:rsid w:val="00C70AF0"/>
    <w:rsid w:val="00C71401"/>
    <w:rsid w:val="00C719BA"/>
    <w:rsid w:val="00C7330E"/>
    <w:rsid w:val="00C73ABB"/>
    <w:rsid w:val="00C77621"/>
    <w:rsid w:val="00C77ADB"/>
    <w:rsid w:val="00C8092E"/>
    <w:rsid w:val="00C81FE7"/>
    <w:rsid w:val="00C83B93"/>
    <w:rsid w:val="00C850FC"/>
    <w:rsid w:val="00C854FF"/>
    <w:rsid w:val="00C85ECE"/>
    <w:rsid w:val="00C862CB"/>
    <w:rsid w:val="00C86ABE"/>
    <w:rsid w:val="00C87F43"/>
    <w:rsid w:val="00C91B62"/>
    <w:rsid w:val="00C93508"/>
    <w:rsid w:val="00C94A57"/>
    <w:rsid w:val="00C94A5A"/>
    <w:rsid w:val="00C966C7"/>
    <w:rsid w:val="00C96FFB"/>
    <w:rsid w:val="00C97E04"/>
    <w:rsid w:val="00CA1E2D"/>
    <w:rsid w:val="00CA2D3E"/>
    <w:rsid w:val="00CA52A6"/>
    <w:rsid w:val="00CA587D"/>
    <w:rsid w:val="00CA65A4"/>
    <w:rsid w:val="00CA672C"/>
    <w:rsid w:val="00CA6F75"/>
    <w:rsid w:val="00CB044F"/>
    <w:rsid w:val="00CB1807"/>
    <w:rsid w:val="00CB3915"/>
    <w:rsid w:val="00CB4B9D"/>
    <w:rsid w:val="00CB6953"/>
    <w:rsid w:val="00CB6A1A"/>
    <w:rsid w:val="00CB785E"/>
    <w:rsid w:val="00CC0299"/>
    <w:rsid w:val="00CC07D7"/>
    <w:rsid w:val="00CC1C76"/>
    <w:rsid w:val="00CC2E38"/>
    <w:rsid w:val="00CC3353"/>
    <w:rsid w:val="00CC486F"/>
    <w:rsid w:val="00CC56B2"/>
    <w:rsid w:val="00CC795E"/>
    <w:rsid w:val="00CC7CEC"/>
    <w:rsid w:val="00CD1931"/>
    <w:rsid w:val="00CD22D0"/>
    <w:rsid w:val="00CD38AF"/>
    <w:rsid w:val="00CD500F"/>
    <w:rsid w:val="00CD50AB"/>
    <w:rsid w:val="00CD6E54"/>
    <w:rsid w:val="00CE196E"/>
    <w:rsid w:val="00CE1DC1"/>
    <w:rsid w:val="00CE24BA"/>
    <w:rsid w:val="00CE281E"/>
    <w:rsid w:val="00CE3369"/>
    <w:rsid w:val="00CE3762"/>
    <w:rsid w:val="00CE5237"/>
    <w:rsid w:val="00CE5D74"/>
    <w:rsid w:val="00CE7118"/>
    <w:rsid w:val="00CE79A2"/>
    <w:rsid w:val="00CE7BB0"/>
    <w:rsid w:val="00CF3CC8"/>
    <w:rsid w:val="00CF4221"/>
    <w:rsid w:val="00D0496A"/>
    <w:rsid w:val="00D05868"/>
    <w:rsid w:val="00D05AD0"/>
    <w:rsid w:val="00D06050"/>
    <w:rsid w:val="00D0616D"/>
    <w:rsid w:val="00D06628"/>
    <w:rsid w:val="00D14000"/>
    <w:rsid w:val="00D141AC"/>
    <w:rsid w:val="00D1684B"/>
    <w:rsid w:val="00D16AA1"/>
    <w:rsid w:val="00D178AB"/>
    <w:rsid w:val="00D17D4F"/>
    <w:rsid w:val="00D22F32"/>
    <w:rsid w:val="00D23EC5"/>
    <w:rsid w:val="00D27235"/>
    <w:rsid w:val="00D305D6"/>
    <w:rsid w:val="00D30A7C"/>
    <w:rsid w:val="00D315CC"/>
    <w:rsid w:val="00D31D0C"/>
    <w:rsid w:val="00D3237A"/>
    <w:rsid w:val="00D33086"/>
    <w:rsid w:val="00D3392F"/>
    <w:rsid w:val="00D36D7B"/>
    <w:rsid w:val="00D42F67"/>
    <w:rsid w:val="00D430EF"/>
    <w:rsid w:val="00D43191"/>
    <w:rsid w:val="00D46EFF"/>
    <w:rsid w:val="00D505AD"/>
    <w:rsid w:val="00D50CB7"/>
    <w:rsid w:val="00D51C66"/>
    <w:rsid w:val="00D53C1E"/>
    <w:rsid w:val="00D56D38"/>
    <w:rsid w:val="00D57B31"/>
    <w:rsid w:val="00D603A3"/>
    <w:rsid w:val="00D61CF3"/>
    <w:rsid w:val="00D62226"/>
    <w:rsid w:val="00D723FE"/>
    <w:rsid w:val="00D7492F"/>
    <w:rsid w:val="00D74E48"/>
    <w:rsid w:val="00D764D0"/>
    <w:rsid w:val="00D81548"/>
    <w:rsid w:val="00D81887"/>
    <w:rsid w:val="00D84B68"/>
    <w:rsid w:val="00D856C6"/>
    <w:rsid w:val="00D85F32"/>
    <w:rsid w:val="00D8609B"/>
    <w:rsid w:val="00D87548"/>
    <w:rsid w:val="00D90431"/>
    <w:rsid w:val="00D90A7E"/>
    <w:rsid w:val="00D918EC"/>
    <w:rsid w:val="00D91FA5"/>
    <w:rsid w:val="00D93FCF"/>
    <w:rsid w:val="00D93FE3"/>
    <w:rsid w:val="00D9565F"/>
    <w:rsid w:val="00D95B93"/>
    <w:rsid w:val="00D96493"/>
    <w:rsid w:val="00D9651D"/>
    <w:rsid w:val="00D9754D"/>
    <w:rsid w:val="00DA0937"/>
    <w:rsid w:val="00DA0FF4"/>
    <w:rsid w:val="00DA1DCD"/>
    <w:rsid w:val="00DA41FA"/>
    <w:rsid w:val="00DA512D"/>
    <w:rsid w:val="00DA746C"/>
    <w:rsid w:val="00DA769C"/>
    <w:rsid w:val="00DB141B"/>
    <w:rsid w:val="00DB268E"/>
    <w:rsid w:val="00DB6E57"/>
    <w:rsid w:val="00DB7DEB"/>
    <w:rsid w:val="00DC004B"/>
    <w:rsid w:val="00DC1C59"/>
    <w:rsid w:val="00DC2105"/>
    <w:rsid w:val="00DC6BDF"/>
    <w:rsid w:val="00DD062D"/>
    <w:rsid w:val="00DD6FE6"/>
    <w:rsid w:val="00DD7751"/>
    <w:rsid w:val="00DE0B63"/>
    <w:rsid w:val="00DE0D00"/>
    <w:rsid w:val="00DE421B"/>
    <w:rsid w:val="00DE6157"/>
    <w:rsid w:val="00DE62AA"/>
    <w:rsid w:val="00DE630D"/>
    <w:rsid w:val="00DF01B7"/>
    <w:rsid w:val="00DF0FBE"/>
    <w:rsid w:val="00DF1B6C"/>
    <w:rsid w:val="00DF28C0"/>
    <w:rsid w:val="00DF2C2A"/>
    <w:rsid w:val="00DF32DC"/>
    <w:rsid w:val="00DF37C3"/>
    <w:rsid w:val="00DF3946"/>
    <w:rsid w:val="00DF3E3C"/>
    <w:rsid w:val="00DF4723"/>
    <w:rsid w:val="00DF4D8F"/>
    <w:rsid w:val="00DF4DA6"/>
    <w:rsid w:val="00DF634F"/>
    <w:rsid w:val="00DF667D"/>
    <w:rsid w:val="00DF77A6"/>
    <w:rsid w:val="00E01699"/>
    <w:rsid w:val="00E058AD"/>
    <w:rsid w:val="00E06116"/>
    <w:rsid w:val="00E06312"/>
    <w:rsid w:val="00E07374"/>
    <w:rsid w:val="00E103ED"/>
    <w:rsid w:val="00E139D3"/>
    <w:rsid w:val="00E14E59"/>
    <w:rsid w:val="00E15BAE"/>
    <w:rsid w:val="00E16F55"/>
    <w:rsid w:val="00E22227"/>
    <w:rsid w:val="00E25080"/>
    <w:rsid w:val="00E30834"/>
    <w:rsid w:val="00E33507"/>
    <w:rsid w:val="00E33AAF"/>
    <w:rsid w:val="00E34AA9"/>
    <w:rsid w:val="00E35DBB"/>
    <w:rsid w:val="00E405FB"/>
    <w:rsid w:val="00E415B0"/>
    <w:rsid w:val="00E41F83"/>
    <w:rsid w:val="00E42726"/>
    <w:rsid w:val="00E43182"/>
    <w:rsid w:val="00E4430B"/>
    <w:rsid w:val="00E4458B"/>
    <w:rsid w:val="00E4583B"/>
    <w:rsid w:val="00E4628D"/>
    <w:rsid w:val="00E47CDC"/>
    <w:rsid w:val="00E50402"/>
    <w:rsid w:val="00E525F8"/>
    <w:rsid w:val="00E5370D"/>
    <w:rsid w:val="00E554CA"/>
    <w:rsid w:val="00E55F84"/>
    <w:rsid w:val="00E5650C"/>
    <w:rsid w:val="00E63505"/>
    <w:rsid w:val="00E63602"/>
    <w:rsid w:val="00E6435F"/>
    <w:rsid w:val="00E644EB"/>
    <w:rsid w:val="00E67040"/>
    <w:rsid w:val="00E6790E"/>
    <w:rsid w:val="00E6795B"/>
    <w:rsid w:val="00E67C12"/>
    <w:rsid w:val="00E7070C"/>
    <w:rsid w:val="00E72C23"/>
    <w:rsid w:val="00E758B8"/>
    <w:rsid w:val="00E75F88"/>
    <w:rsid w:val="00E77D91"/>
    <w:rsid w:val="00E801D6"/>
    <w:rsid w:val="00E8246C"/>
    <w:rsid w:val="00E82BAF"/>
    <w:rsid w:val="00E846F1"/>
    <w:rsid w:val="00E8485C"/>
    <w:rsid w:val="00E84F53"/>
    <w:rsid w:val="00E92004"/>
    <w:rsid w:val="00E9347B"/>
    <w:rsid w:val="00E94FBA"/>
    <w:rsid w:val="00E95200"/>
    <w:rsid w:val="00E95470"/>
    <w:rsid w:val="00E95E3B"/>
    <w:rsid w:val="00E96848"/>
    <w:rsid w:val="00E96D4D"/>
    <w:rsid w:val="00E96FC2"/>
    <w:rsid w:val="00E97026"/>
    <w:rsid w:val="00EA0482"/>
    <w:rsid w:val="00EA0F8A"/>
    <w:rsid w:val="00EA1900"/>
    <w:rsid w:val="00EB0B93"/>
    <w:rsid w:val="00EB19C7"/>
    <w:rsid w:val="00EB1EB3"/>
    <w:rsid w:val="00EB20F9"/>
    <w:rsid w:val="00EB3E54"/>
    <w:rsid w:val="00EB4070"/>
    <w:rsid w:val="00EB6A13"/>
    <w:rsid w:val="00EC083F"/>
    <w:rsid w:val="00EC259C"/>
    <w:rsid w:val="00EC4F23"/>
    <w:rsid w:val="00EC5DB0"/>
    <w:rsid w:val="00EC69D4"/>
    <w:rsid w:val="00ED17B6"/>
    <w:rsid w:val="00ED1C5F"/>
    <w:rsid w:val="00ED442B"/>
    <w:rsid w:val="00ED514C"/>
    <w:rsid w:val="00ED7257"/>
    <w:rsid w:val="00EE00C7"/>
    <w:rsid w:val="00EE4591"/>
    <w:rsid w:val="00EE52EB"/>
    <w:rsid w:val="00EE563A"/>
    <w:rsid w:val="00EE5E1A"/>
    <w:rsid w:val="00EE6404"/>
    <w:rsid w:val="00EE7F59"/>
    <w:rsid w:val="00EF0B03"/>
    <w:rsid w:val="00EF1762"/>
    <w:rsid w:val="00EF6A49"/>
    <w:rsid w:val="00EF6D11"/>
    <w:rsid w:val="00EF7520"/>
    <w:rsid w:val="00F042A2"/>
    <w:rsid w:val="00F05185"/>
    <w:rsid w:val="00F07183"/>
    <w:rsid w:val="00F119B0"/>
    <w:rsid w:val="00F11F4E"/>
    <w:rsid w:val="00F124CA"/>
    <w:rsid w:val="00F14D96"/>
    <w:rsid w:val="00F14F40"/>
    <w:rsid w:val="00F14F5B"/>
    <w:rsid w:val="00F170AB"/>
    <w:rsid w:val="00F17B6D"/>
    <w:rsid w:val="00F17D67"/>
    <w:rsid w:val="00F17FCD"/>
    <w:rsid w:val="00F20E51"/>
    <w:rsid w:val="00F22EC0"/>
    <w:rsid w:val="00F2322A"/>
    <w:rsid w:val="00F24010"/>
    <w:rsid w:val="00F24526"/>
    <w:rsid w:val="00F304D5"/>
    <w:rsid w:val="00F30FA9"/>
    <w:rsid w:val="00F317B1"/>
    <w:rsid w:val="00F34FFF"/>
    <w:rsid w:val="00F355A0"/>
    <w:rsid w:val="00F36750"/>
    <w:rsid w:val="00F367B8"/>
    <w:rsid w:val="00F40424"/>
    <w:rsid w:val="00F40C44"/>
    <w:rsid w:val="00F422B8"/>
    <w:rsid w:val="00F47670"/>
    <w:rsid w:val="00F52105"/>
    <w:rsid w:val="00F5270F"/>
    <w:rsid w:val="00F53DBD"/>
    <w:rsid w:val="00F5581D"/>
    <w:rsid w:val="00F60E1B"/>
    <w:rsid w:val="00F62422"/>
    <w:rsid w:val="00F63D73"/>
    <w:rsid w:val="00F6466F"/>
    <w:rsid w:val="00F65B71"/>
    <w:rsid w:val="00F67146"/>
    <w:rsid w:val="00F678F3"/>
    <w:rsid w:val="00F7217A"/>
    <w:rsid w:val="00F725BC"/>
    <w:rsid w:val="00F742BB"/>
    <w:rsid w:val="00F7472E"/>
    <w:rsid w:val="00F75352"/>
    <w:rsid w:val="00F82E40"/>
    <w:rsid w:val="00F83314"/>
    <w:rsid w:val="00F8516E"/>
    <w:rsid w:val="00F8534D"/>
    <w:rsid w:val="00F8536A"/>
    <w:rsid w:val="00F86A47"/>
    <w:rsid w:val="00F9005E"/>
    <w:rsid w:val="00F91A0D"/>
    <w:rsid w:val="00F93026"/>
    <w:rsid w:val="00F934A6"/>
    <w:rsid w:val="00F9406B"/>
    <w:rsid w:val="00F946D7"/>
    <w:rsid w:val="00F9675D"/>
    <w:rsid w:val="00F967E8"/>
    <w:rsid w:val="00F96A11"/>
    <w:rsid w:val="00FA0EBC"/>
    <w:rsid w:val="00FA0EC0"/>
    <w:rsid w:val="00FA3565"/>
    <w:rsid w:val="00FA4E31"/>
    <w:rsid w:val="00FA6AC7"/>
    <w:rsid w:val="00FB199E"/>
    <w:rsid w:val="00FB2EFB"/>
    <w:rsid w:val="00FB515F"/>
    <w:rsid w:val="00FC3282"/>
    <w:rsid w:val="00FC363A"/>
    <w:rsid w:val="00FC4F1A"/>
    <w:rsid w:val="00FC51BE"/>
    <w:rsid w:val="00FC71EB"/>
    <w:rsid w:val="00FD1599"/>
    <w:rsid w:val="00FD48A6"/>
    <w:rsid w:val="00FD5F15"/>
    <w:rsid w:val="00FD7047"/>
    <w:rsid w:val="00FD7FB3"/>
    <w:rsid w:val="00FE2C75"/>
    <w:rsid w:val="00FE6C42"/>
    <w:rsid w:val="00FE78DE"/>
    <w:rsid w:val="00FE7C3D"/>
    <w:rsid w:val="00FF398B"/>
    <w:rsid w:val="00FF3BE1"/>
    <w:rsid w:val="00FF4864"/>
    <w:rsid w:val="00FF4BF3"/>
    <w:rsid w:val="00FF5EB7"/>
    <w:rsid w:val="00FF7C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4FB6B"/>
  <w15:docId w15:val="{23D0637D-14B4-4B2A-957A-0755DA01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ED0"/>
  </w:style>
  <w:style w:type="paragraph" w:styleId="Titre1">
    <w:name w:val="heading 1"/>
    <w:basedOn w:val="Normal"/>
    <w:next w:val="Normal"/>
    <w:link w:val="Titre1Car"/>
    <w:uiPriority w:val="9"/>
    <w:qFormat/>
    <w:rsid w:val="00E758B8"/>
    <w:pPr>
      <w:keepNext/>
      <w:keepLines/>
      <w:spacing w:before="240" w:after="0"/>
      <w:outlineLvl w:val="0"/>
    </w:pPr>
    <w:rPr>
      <w:rFonts w:ascii="Century Gothic" w:eastAsiaTheme="majorEastAsia" w:hAnsi="Century Gothic" w:cstheme="majorBidi"/>
      <w:b/>
      <w:color w:val="365F91" w:themeColor="accent1" w:themeShade="BF"/>
      <w:sz w:val="24"/>
      <w:szCs w:val="32"/>
    </w:rPr>
  </w:style>
  <w:style w:type="paragraph" w:styleId="Titre2">
    <w:name w:val="heading 2"/>
    <w:basedOn w:val="Normal"/>
    <w:next w:val="Normal"/>
    <w:link w:val="Titre2Car"/>
    <w:uiPriority w:val="9"/>
    <w:unhideWhenUsed/>
    <w:qFormat/>
    <w:rsid w:val="00E758B8"/>
    <w:pPr>
      <w:keepNext/>
      <w:keepLines/>
      <w:spacing w:before="40" w:after="0"/>
      <w:outlineLvl w:val="1"/>
    </w:pPr>
    <w:rPr>
      <w:rFonts w:ascii="Century Gothic" w:eastAsiaTheme="majorEastAsia" w:hAnsi="Century Gothic" w:cstheme="majorBidi"/>
      <w:b/>
      <w:color w:val="365F91" w:themeColor="accent1" w:themeShade="BF"/>
      <w:szCs w:val="26"/>
    </w:rPr>
  </w:style>
  <w:style w:type="paragraph" w:styleId="Titre3">
    <w:name w:val="heading 3"/>
    <w:basedOn w:val="Normal"/>
    <w:next w:val="Normal"/>
    <w:link w:val="Titre3Car"/>
    <w:uiPriority w:val="9"/>
    <w:unhideWhenUsed/>
    <w:qFormat/>
    <w:rsid w:val="00E758B8"/>
    <w:pPr>
      <w:keepNext/>
      <w:keepLines/>
      <w:spacing w:before="40" w:after="0"/>
      <w:outlineLvl w:val="2"/>
    </w:pPr>
    <w:rPr>
      <w:rFonts w:ascii="Century Gothic" w:eastAsiaTheme="majorEastAsia" w:hAnsi="Century Gothic" w:cstheme="majorBidi"/>
      <w:b/>
      <w:color w:val="243F60" w:themeColor="accent1" w:themeShade="7F"/>
      <w:sz w:val="21"/>
      <w:szCs w:val="24"/>
    </w:rPr>
  </w:style>
  <w:style w:type="paragraph" w:styleId="Titre4">
    <w:name w:val="heading 4"/>
    <w:basedOn w:val="Normal"/>
    <w:next w:val="Normal"/>
    <w:link w:val="Titre4Car"/>
    <w:uiPriority w:val="9"/>
    <w:qFormat/>
    <w:rsid w:val="006065B6"/>
    <w:pPr>
      <w:keepNext/>
      <w:spacing w:after="0" w:line="240" w:lineRule="auto"/>
      <w:jc w:val="center"/>
      <w:outlineLvl w:val="3"/>
    </w:pPr>
    <w:rPr>
      <w:rFonts w:ascii="Tahoma" w:eastAsia="Times New Roman" w:hAnsi="Tahoma"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4F23"/>
    <w:pPr>
      <w:tabs>
        <w:tab w:val="center" w:pos="4536"/>
        <w:tab w:val="right" w:pos="9072"/>
      </w:tabs>
      <w:spacing w:after="0" w:line="240" w:lineRule="auto"/>
    </w:pPr>
  </w:style>
  <w:style w:type="character" w:customStyle="1" w:styleId="En-tteCar">
    <w:name w:val="En-tête Car"/>
    <w:basedOn w:val="Policepardfaut"/>
    <w:link w:val="En-tte"/>
    <w:uiPriority w:val="99"/>
    <w:rsid w:val="00EC4F23"/>
  </w:style>
  <w:style w:type="paragraph" w:styleId="Pieddepage">
    <w:name w:val="footer"/>
    <w:basedOn w:val="Normal"/>
    <w:link w:val="PieddepageCar"/>
    <w:uiPriority w:val="99"/>
    <w:unhideWhenUsed/>
    <w:rsid w:val="00EC4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F23"/>
  </w:style>
  <w:style w:type="table" w:styleId="Grilledutableau">
    <w:name w:val="Table Grid"/>
    <w:basedOn w:val="TableauNormal"/>
    <w:uiPriority w:val="59"/>
    <w:rsid w:val="00EC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ettre d'introduction,Paragraphe"/>
    <w:basedOn w:val="Normal"/>
    <w:uiPriority w:val="34"/>
    <w:qFormat/>
    <w:rsid w:val="002D5DBD"/>
    <w:pPr>
      <w:ind w:left="720"/>
      <w:contextualSpacing/>
    </w:pPr>
  </w:style>
  <w:style w:type="paragraph" w:styleId="Notedebasdepage">
    <w:name w:val="footnote text"/>
    <w:basedOn w:val="Normal"/>
    <w:link w:val="NotedebasdepageCar"/>
    <w:uiPriority w:val="99"/>
    <w:semiHidden/>
    <w:unhideWhenUsed/>
    <w:rsid w:val="005801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1FE"/>
    <w:rPr>
      <w:sz w:val="20"/>
      <w:szCs w:val="20"/>
    </w:rPr>
  </w:style>
  <w:style w:type="character" w:styleId="Appelnotedebasdep">
    <w:name w:val="footnote reference"/>
    <w:basedOn w:val="Policepardfaut"/>
    <w:uiPriority w:val="99"/>
    <w:semiHidden/>
    <w:unhideWhenUsed/>
    <w:rsid w:val="005801FE"/>
    <w:rPr>
      <w:vertAlign w:val="superscript"/>
    </w:rPr>
  </w:style>
  <w:style w:type="paragraph" w:styleId="Textedebulles">
    <w:name w:val="Balloon Text"/>
    <w:basedOn w:val="Normal"/>
    <w:link w:val="TextedebullesCar"/>
    <w:uiPriority w:val="99"/>
    <w:semiHidden/>
    <w:unhideWhenUsed/>
    <w:rsid w:val="00420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6CB"/>
    <w:rPr>
      <w:rFonts w:ascii="Tahoma" w:hAnsi="Tahoma" w:cs="Tahoma"/>
      <w:sz w:val="16"/>
      <w:szCs w:val="16"/>
    </w:rPr>
  </w:style>
  <w:style w:type="character" w:styleId="Marquedecommentaire">
    <w:name w:val="annotation reference"/>
    <w:basedOn w:val="Policepardfaut"/>
    <w:uiPriority w:val="99"/>
    <w:semiHidden/>
    <w:unhideWhenUsed/>
    <w:rsid w:val="00C211AA"/>
    <w:rPr>
      <w:sz w:val="16"/>
      <w:szCs w:val="16"/>
    </w:rPr>
  </w:style>
  <w:style w:type="paragraph" w:styleId="Commentaire">
    <w:name w:val="annotation text"/>
    <w:basedOn w:val="Normal"/>
    <w:link w:val="CommentaireCar"/>
    <w:uiPriority w:val="99"/>
    <w:unhideWhenUsed/>
    <w:rsid w:val="00C211AA"/>
    <w:pPr>
      <w:spacing w:line="240" w:lineRule="auto"/>
    </w:pPr>
    <w:rPr>
      <w:sz w:val="20"/>
      <w:szCs w:val="20"/>
    </w:rPr>
  </w:style>
  <w:style w:type="character" w:customStyle="1" w:styleId="CommentaireCar">
    <w:name w:val="Commentaire Car"/>
    <w:basedOn w:val="Policepardfaut"/>
    <w:link w:val="Commentaire"/>
    <w:uiPriority w:val="99"/>
    <w:rsid w:val="00C211AA"/>
    <w:rPr>
      <w:sz w:val="20"/>
      <w:szCs w:val="20"/>
    </w:rPr>
  </w:style>
  <w:style w:type="paragraph" w:styleId="Objetducommentaire">
    <w:name w:val="annotation subject"/>
    <w:basedOn w:val="Commentaire"/>
    <w:next w:val="Commentaire"/>
    <w:link w:val="ObjetducommentaireCar"/>
    <w:uiPriority w:val="99"/>
    <w:semiHidden/>
    <w:unhideWhenUsed/>
    <w:rsid w:val="00C211AA"/>
    <w:rPr>
      <w:b/>
      <w:bCs/>
    </w:rPr>
  </w:style>
  <w:style w:type="character" w:customStyle="1" w:styleId="ObjetducommentaireCar">
    <w:name w:val="Objet du commentaire Car"/>
    <w:basedOn w:val="CommentaireCar"/>
    <w:link w:val="Objetducommentaire"/>
    <w:uiPriority w:val="99"/>
    <w:semiHidden/>
    <w:rsid w:val="00C211AA"/>
    <w:rPr>
      <w:b/>
      <w:bCs/>
      <w:sz w:val="20"/>
      <w:szCs w:val="20"/>
    </w:rPr>
  </w:style>
  <w:style w:type="character" w:styleId="Accentuation">
    <w:name w:val="Emphasis"/>
    <w:basedOn w:val="Policepardfaut"/>
    <w:uiPriority w:val="20"/>
    <w:qFormat/>
    <w:rsid w:val="00033986"/>
    <w:rPr>
      <w:i/>
      <w:iCs/>
    </w:rPr>
  </w:style>
  <w:style w:type="paragraph" w:customStyle="1" w:styleId="Default">
    <w:name w:val="Default"/>
    <w:rsid w:val="00A74CCC"/>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Normal"/>
    <w:rsid w:val="00015103"/>
    <w:pPr>
      <w:spacing w:before="100" w:beforeAutospacing="1" w:after="100" w:afterAutospacing="1" w:line="240" w:lineRule="auto"/>
    </w:pPr>
    <w:rPr>
      <w:rFonts w:ascii="Times New Roman" w:hAnsi="Times New Roman" w:cs="Times New Roman"/>
      <w:lang w:eastAsia="fr-BE"/>
    </w:rPr>
  </w:style>
  <w:style w:type="character" w:customStyle="1" w:styleId="Titre4Car">
    <w:name w:val="Titre 4 Car"/>
    <w:basedOn w:val="Policepardfaut"/>
    <w:link w:val="Titre4"/>
    <w:uiPriority w:val="9"/>
    <w:rsid w:val="006065B6"/>
    <w:rPr>
      <w:rFonts w:ascii="Tahoma" w:eastAsia="Times New Roman" w:hAnsi="Tahoma" w:cs="Times New Roman"/>
      <w:b/>
      <w:sz w:val="24"/>
      <w:szCs w:val="20"/>
      <w:lang w:val="fr-FR" w:eastAsia="fr-FR"/>
    </w:rPr>
  </w:style>
  <w:style w:type="character" w:styleId="Lienhypertexte">
    <w:name w:val="Hyperlink"/>
    <w:basedOn w:val="Policepardfaut"/>
    <w:uiPriority w:val="99"/>
    <w:unhideWhenUsed/>
    <w:rsid w:val="00FD5F15"/>
    <w:rPr>
      <w:color w:val="0000FF"/>
      <w:u w:val="single"/>
    </w:rPr>
  </w:style>
  <w:style w:type="paragraph" w:styleId="NormalWeb">
    <w:name w:val="Normal (Web)"/>
    <w:basedOn w:val="Normal"/>
    <w:uiPriority w:val="99"/>
    <w:unhideWhenUsed/>
    <w:rsid w:val="00EC083F"/>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auGrille1Clair-Accentuation1">
    <w:name w:val="Grid Table 1 Light Accent 1"/>
    <w:basedOn w:val="TableauNormal"/>
    <w:uiPriority w:val="46"/>
    <w:rsid w:val="00D9754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E758B8"/>
    <w:rPr>
      <w:rFonts w:ascii="Century Gothic" w:eastAsiaTheme="majorEastAsia" w:hAnsi="Century Gothic" w:cstheme="majorBidi"/>
      <w:b/>
      <w:color w:val="365F91" w:themeColor="accent1" w:themeShade="BF"/>
      <w:sz w:val="24"/>
      <w:szCs w:val="32"/>
    </w:rPr>
  </w:style>
  <w:style w:type="character" w:customStyle="1" w:styleId="Titre2Car">
    <w:name w:val="Titre 2 Car"/>
    <w:basedOn w:val="Policepardfaut"/>
    <w:link w:val="Titre2"/>
    <w:uiPriority w:val="9"/>
    <w:rsid w:val="00E758B8"/>
    <w:rPr>
      <w:rFonts w:ascii="Century Gothic" w:eastAsiaTheme="majorEastAsia" w:hAnsi="Century Gothic" w:cstheme="majorBidi"/>
      <w:b/>
      <w:color w:val="365F91" w:themeColor="accent1" w:themeShade="BF"/>
      <w:szCs w:val="26"/>
    </w:rPr>
  </w:style>
  <w:style w:type="character" w:customStyle="1" w:styleId="Titre3Car">
    <w:name w:val="Titre 3 Car"/>
    <w:basedOn w:val="Policepardfaut"/>
    <w:link w:val="Titre3"/>
    <w:uiPriority w:val="9"/>
    <w:rsid w:val="00E758B8"/>
    <w:rPr>
      <w:rFonts w:ascii="Century Gothic" w:eastAsiaTheme="majorEastAsia" w:hAnsi="Century Gothic" w:cstheme="majorBidi"/>
      <w:b/>
      <w:color w:val="243F60" w:themeColor="accent1" w:themeShade="7F"/>
      <w:sz w:val="21"/>
      <w:szCs w:val="24"/>
    </w:rPr>
  </w:style>
  <w:style w:type="paragraph" w:styleId="TM1">
    <w:name w:val="toc 1"/>
    <w:basedOn w:val="Normal"/>
    <w:next w:val="Normal"/>
    <w:autoRedefine/>
    <w:uiPriority w:val="39"/>
    <w:unhideWhenUsed/>
    <w:rsid w:val="00453E8E"/>
    <w:pPr>
      <w:spacing w:after="100"/>
    </w:pPr>
  </w:style>
  <w:style w:type="paragraph" w:styleId="TM2">
    <w:name w:val="toc 2"/>
    <w:basedOn w:val="Normal"/>
    <w:next w:val="Normal"/>
    <w:autoRedefine/>
    <w:uiPriority w:val="39"/>
    <w:unhideWhenUsed/>
    <w:rsid w:val="004E7109"/>
    <w:pPr>
      <w:tabs>
        <w:tab w:val="left" w:pos="880"/>
        <w:tab w:val="right" w:leader="dot" w:pos="9062"/>
      </w:tabs>
      <w:spacing w:after="100"/>
      <w:ind w:left="220"/>
    </w:pPr>
  </w:style>
  <w:style w:type="paragraph" w:styleId="TM3">
    <w:name w:val="toc 3"/>
    <w:basedOn w:val="Normal"/>
    <w:next w:val="Normal"/>
    <w:autoRedefine/>
    <w:uiPriority w:val="39"/>
    <w:unhideWhenUsed/>
    <w:rsid w:val="00453E8E"/>
    <w:pPr>
      <w:spacing w:after="100"/>
      <w:ind w:left="440"/>
    </w:pPr>
  </w:style>
  <w:style w:type="table" w:styleId="TableauGrille6Couleur-Accentuation1">
    <w:name w:val="Grid Table 6 Colorful Accent 1"/>
    <w:basedOn w:val="TableauNormal"/>
    <w:uiPriority w:val="51"/>
    <w:rsid w:val="002D101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tedefin">
    <w:name w:val="endnote text"/>
    <w:basedOn w:val="Normal"/>
    <w:link w:val="NotedefinCar"/>
    <w:uiPriority w:val="99"/>
    <w:semiHidden/>
    <w:unhideWhenUsed/>
    <w:rsid w:val="00E14E59"/>
    <w:pPr>
      <w:spacing w:after="0" w:line="240" w:lineRule="auto"/>
    </w:pPr>
    <w:rPr>
      <w:sz w:val="20"/>
      <w:szCs w:val="20"/>
    </w:rPr>
  </w:style>
  <w:style w:type="character" w:customStyle="1" w:styleId="NotedefinCar">
    <w:name w:val="Note de fin Car"/>
    <w:basedOn w:val="Policepardfaut"/>
    <w:link w:val="Notedefin"/>
    <w:uiPriority w:val="99"/>
    <w:semiHidden/>
    <w:rsid w:val="00E14E59"/>
    <w:rPr>
      <w:sz w:val="20"/>
      <w:szCs w:val="20"/>
    </w:rPr>
  </w:style>
  <w:style w:type="character" w:styleId="Appeldenotedefin">
    <w:name w:val="endnote reference"/>
    <w:basedOn w:val="Policepardfaut"/>
    <w:uiPriority w:val="99"/>
    <w:semiHidden/>
    <w:unhideWhenUsed/>
    <w:rsid w:val="00E14E59"/>
    <w:rPr>
      <w:vertAlign w:val="superscript"/>
    </w:rPr>
  </w:style>
  <w:style w:type="character" w:customStyle="1" w:styleId="Mentionnonrsolue1">
    <w:name w:val="Mention non résolue1"/>
    <w:basedOn w:val="Policepardfaut"/>
    <w:uiPriority w:val="99"/>
    <w:semiHidden/>
    <w:unhideWhenUsed/>
    <w:rsid w:val="007D7088"/>
    <w:rPr>
      <w:color w:val="605E5C"/>
      <w:shd w:val="clear" w:color="auto" w:fill="E1DFDD"/>
    </w:rPr>
  </w:style>
  <w:style w:type="paragraph" w:styleId="Lgende">
    <w:name w:val="caption"/>
    <w:basedOn w:val="Normal"/>
    <w:next w:val="Normal"/>
    <w:uiPriority w:val="35"/>
    <w:unhideWhenUsed/>
    <w:qFormat/>
    <w:rsid w:val="00E30834"/>
    <w:pPr>
      <w:spacing w:line="240" w:lineRule="auto"/>
    </w:pPr>
    <w:rPr>
      <w:i/>
      <w:iCs/>
      <w:color w:val="1F497D" w:themeColor="text2"/>
      <w:sz w:val="18"/>
      <w:szCs w:val="18"/>
    </w:rPr>
  </w:style>
  <w:style w:type="paragraph" w:styleId="Rvision">
    <w:name w:val="Revision"/>
    <w:hidden/>
    <w:uiPriority w:val="99"/>
    <w:semiHidden/>
    <w:rsid w:val="00FE78DE"/>
    <w:pPr>
      <w:spacing w:after="0" w:line="240" w:lineRule="auto"/>
    </w:pPr>
  </w:style>
  <w:style w:type="paragraph" w:styleId="Sansinterligne">
    <w:name w:val="No Spacing"/>
    <w:uiPriority w:val="1"/>
    <w:qFormat/>
    <w:rsid w:val="00CE7118"/>
    <w:pPr>
      <w:spacing w:after="0" w:line="240" w:lineRule="auto"/>
    </w:pPr>
  </w:style>
  <w:style w:type="character" w:styleId="Mentionnonrsolue">
    <w:name w:val="Unresolved Mention"/>
    <w:basedOn w:val="Policepardfaut"/>
    <w:uiPriority w:val="99"/>
    <w:semiHidden/>
    <w:unhideWhenUsed/>
    <w:rsid w:val="008E319B"/>
    <w:rPr>
      <w:color w:val="605E5C"/>
      <w:shd w:val="clear" w:color="auto" w:fill="E1DFDD"/>
    </w:rPr>
  </w:style>
  <w:style w:type="paragraph" w:styleId="En-ttedetabledesmatires">
    <w:name w:val="TOC Heading"/>
    <w:basedOn w:val="Titre1"/>
    <w:next w:val="Normal"/>
    <w:uiPriority w:val="39"/>
    <w:unhideWhenUsed/>
    <w:qFormat/>
    <w:rsid w:val="00F14F40"/>
    <w:pPr>
      <w:spacing w:line="259" w:lineRule="auto"/>
      <w:outlineLvl w:val="9"/>
    </w:pPr>
    <w:rPr>
      <w:rFonts w:asciiTheme="majorHAnsi" w:hAnsiTheme="majorHAnsi"/>
      <w:b w:val="0"/>
      <w:sz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773">
      <w:bodyDiv w:val="1"/>
      <w:marLeft w:val="0"/>
      <w:marRight w:val="0"/>
      <w:marTop w:val="0"/>
      <w:marBottom w:val="0"/>
      <w:divBdr>
        <w:top w:val="none" w:sz="0" w:space="0" w:color="auto"/>
        <w:left w:val="none" w:sz="0" w:space="0" w:color="auto"/>
        <w:bottom w:val="none" w:sz="0" w:space="0" w:color="auto"/>
        <w:right w:val="none" w:sz="0" w:space="0" w:color="auto"/>
      </w:divBdr>
    </w:div>
    <w:div w:id="230234015">
      <w:bodyDiv w:val="1"/>
      <w:marLeft w:val="0"/>
      <w:marRight w:val="0"/>
      <w:marTop w:val="0"/>
      <w:marBottom w:val="0"/>
      <w:divBdr>
        <w:top w:val="none" w:sz="0" w:space="0" w:color="auto"/>
        <w:left w:val="none" w:sz="0" w:space="0" w:color="auto"/>
        <w:bottom w:val="none" w:sz="0" w:space="0" w:color="auto"/>
        <w:right w:val="none" w:sz="0" w:space="0" w:color="auto"/>
      </w:divBdr>
      <w:divsChild>
        <w:div w:id="1395736811">
          <w:marLeft w:val="0"/>
          <w:marRight w:val="0"/>
          <w:marTop w:val="0"/>
          <w:marBottom w:val="0"/>
          <w:divBdr>
            <w:top w:val="none" w:sz="0" w:space="0" w:color="auto"/>
            <w:left w:val="none" w:sz="0" w:space="0" w:color="auto"/>
            <w:bottom w:val="none" w:sz="0" w:space="0" w:color="auto"/>
            <w:right w:val="none" w:sz="0" w:space="0" w:color="auto"/>
          </w:divBdr>
          <w:divsChild>
            <w:div w:id="991105634">
              <w:marLeft w:val="0"/>
              <w:marRight w:val="0"/>
              <w:marTop w:val="0"/>
              <w:marBottom w:val="0"/>
              <w:divBdr>
                <w:top w:val="none" w:sz="0" w:space="0" w:color="auto"/>
                <w:left w:val="none" w:sz="0" w:space="0" w:color="auto"/>
                <w:bottom w:val="none" w:sz="0" w:space="0" w:color="auto"/>
                <w:right w:val="none" w:sz="0" w:space="0" w:color="auto"/>
              </w:divBdr>
              <w:divsChild>
                <w:div w:id="867252953">
                  <w:marLeft w:val="0"/>
                  <w:marRight w:val="0"/>
                  <w:marTop w:val="0"/>
                  <w:marBottom w:val="0"/>
                  <w:divBdr>
                    <w:top w:val="none" w:sz="0" w:space="0" w:color="auto"/>
                    <w:left w:val="none" w:sz="0" w:space="0" w:color="auto"/>
                    <w:bottom w:val="none" w:sz="0" w:space="0" w:color="auto"/>
                    <w:right w:val="none" w:sz="0" w:space="0" w:color="auto"/>
                  </w:divBdr>
                  <w:divsChild>
                    <w:div w:id="1470324050">
                      <w:marLeft w:val="0"/>
                      <w:marRight w:val="0"/>
                      <w:marTop w:val="0"/>
                      <w:marBottom w:val="0"/>
                      <w:divBdr>
                        <w:top w:val="none" w:sz="0" w:space="0" w:color="auto"/>
                        <w:left w:val="none" w:sz="0" w:space="0" w:color="auto"/>
                        <w:bottom w:val="none" w:sz="0" w:space="0" w:color="auto"/>
                        <w:right w:val="none" w:sz="0" w:space="0" w:color="auto"/>
                      </w:divBdr>
                      <w:divsChild>
                        <w:div w:id="1493788868">
                          <w:marLeft w:val="0"/>
                          <w:marRight w:val="0"/>
                          <w:marTop w:val="0"/>
                          <w:marBottom w:val="0"/>
                          <w:divBdr>
                            <w:top w:val="none" w:sz="0" w:space="0" w:color="auto"/>
                            <w:left w:val="none" w:sz="0" w:space="0" w:color="auto"/>
                            <w:bottom w:val="none" w:sz="0" w:space="0" w:color="auto"/>
                            <w:right w:val="none" w:sz="0" w:space="0" w:color="auto"/>
                          </w:divBdr>
                          <w:divsChild>
                            <w:div w:id="1913273714">
                              <w:marLeft w:val="0"/>
                              <w:marRight w:val="0"/>
                              <w:marTop w:val="225"/>
                              <w:marBottom w:val="225"/>
                              <w:divBdr>
                                <w:top w:val="none" w:sz="0" w:space="0" w:color="auto"/>
                                <w:left w:val="none" w:sz="0" w:space="0" w:color="auto"/>
                                <w:bottom w:val="none" w:sz="0" w:space="0" w:color="auto"/>
                                <w:right w:val="none" w:sz="0" w:space="0" w:color="auto"/>
                              </w:divBdr>
                              <w:divsChild>
                                <w:div w:id="870532533">
                                  <w:marLeft w:val="0"/>
                                  <w:marRight w:val="0"/>
                                  <w:marTop w:val="0"/>
                                  <w:marBottom w:val="0"/>
                                  <w:divBdr>
                                    <w:top w:val="none" w:sz="0" w:space="0" w:color="auto"/>
                                    <w:left w:val="none" w:sz="0" w:space="0" w:color="auto"/>
                                    <w:bottom w:val="none" w:sz="0" w:space="0" w:color="auto"/>
                                    <w:right w:val="none" w:sz="0" w:space="0" w:color="auto"/>
                                  </w:divBdr>
                                </w:div>
                                <w:div w:id="1323508696">
                                  <w:marLeft w:val="0"/>
                                  <w:marRight w:val="0"/>
                                  <w:marTop w:val="0"/>
                                  <w:marBottom w:val="0"/>
                                  <w:divBdr>
                                    <w:top w:val="none" w:sz="0" w:space="0" w:color="auto"/>
                                    <w:left w:val="none" w:sz="0" w:space="0" w:color="auto"/>
                                    <w:bottom w:val="none" w:sz="0" w:space="0" w:color="auto"/>
                                    <w:right w:val="none" w:sz="0" w:space="0" w:color="auto"/>
                                  </w:divBdr>
                                </w:div>
                                <w:div w:id="874000540">
                                  <w:marLeft w:val="0"/>
                                  <w:marRight w:val="0"/>
                                  <w:marTop w:val="0"/>
                                  <w:marBottom w:val="0"/>
                                  <w:divBdr>
                                    <w:top w:val="none" w:sz="0" w:space="0" w:color="auto"/>
                                    <w:left w:val="none" w:sz="0" w:space="0" w:color="auto"/>
                                    <w:bottom w:val="none" w:sz="0" w:space="0" w:color="auto"/>
                                    <w:right w:val="none" w:sz="0" w:space="0" w:color="auto"/>
                                  </w:divBdr>
                                </w:div>
                                <w:div w:id="2022511814">
                                  <w:marLeft w:val="0"/>
                                  <w:marRight w:val="0"/>
                                  <w:marTop w:val="0"/>
                                  <w:marBottom w:val="0"/>
                                  <w:divBdr>
                                    <w:top w:val="none" w:sz="0" w:space="0" w:color="auto"/>
                                    <w:left w:val="none" w:sz="0" w:space="0" w:color="auto"/>
                                    <w:bottom w:val="none" w:sz="0" w:space="0" w:color="auto"/>
                                    <w:right w:val="none" w:sz="0" w:space="0" w:color="auto"/>
                                  </w:divBdr>
                                </w:div>
                                <w:div w:id="19567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693840">
      <w:bodyDiv w:val="1"/>
      <w:marLeft w:val="0"/>
      <w:marRight w:val="0"/>
      <w:marTop w:val="0"/>
      <w:marBottom w:val="0"/>
      <w:divBdr>
        <w:top w:val="none" w:sz="0" w:space="0" w:color="auto"/>
        <w:left w:val="none" w:sz="0" w:space="0" w:color="auto"/>
        <w:bottom w:val="none" w:sz="0" w:space="0" w:color="auto"/>
        <w:right w:val="none" w:sz="0" w:space="0" w:color="auto"/>
      </w:divBdr>
    </w:div>
    <w:div w:id="649138743">
      <w:bodyDiv w:val="1"/>
      <w:marLeft w:val="0"/>
      <w:marRight w:val="0"/>
      <w:marTop w:val="0"/>
      <w:marBottom w:val="0"/>
      <w:divBdr>
        <w:top w:val="none" w:sz="0" w:space="0" w:color="auto"/>
        <w:left w:val="none" w:sz="0" w:space="0" w:color="auto"/>
        <w:bottom w:val="none" w:sz="0" w:space="0" w:color="auto"/>
        <w:right w:val="none" w:sz="0" w:space="0" w:color="auto"/>
      </w:divBdr>
    </w:div>
    <w:div w:id="729159405">
      <w:bodyDiv w:val="1"/>
      <w:marLeft w:val="0"/>
      <w:marRight w:val="0"/>
      <w:marTop w:val="0"/>
      <w:marBottom w:val="0"/>
      <w:divBdr>
        <w:top w:val="none" w:sz="0" w:space="0" w:color="auto"/>
        <w:left w:val="none" w:sz="0" w:space="0" w:color="auto"/>
        <w:bottom w:val="none" w:sz="0" w:space="0" w:color="auto"/>
        <w:right w:val="none" w:sz="0" w:space="0" w:color="auto"/>
      </w:divBdr>
      <w:divsChild>
        <w:div w:id="392780394">
          <w:marLeft w:val="0"/>
          <w:marRight w:val="0"/>
          <w:marTop w:val="0"/>
          <w:marBottom w:val="0"/>
          <w:divBdr>
            <w:top w:val="none" w:sz="0" w:space="0" w:color="auto"/>
            <w:left w:val="none" w:sz="0" w:space="0" w:color="auto"/>
            <w:bottom w:val="none" w:sz="0" w:space="0" w:color="auto"/>
            <w:right w:val="none" w:sz="0" w:space="0" w:color="auto"/>
          </w:divBdr>
          <w:divsChild>
            <w:div w:id="1595698444">
              <w:marLeft w:val="0"/>
              <w:marRight w:val="0"/>
              <w:marTop w:val="0"/>
              <w:marBottom w:val="0"/>
              <w:divBdr>
                <w:top w:val="none" w:sz="0" w:space="0" w:color="auto"/>
                <w:left w:val="none" w:sz="0" w:space="0" w:color="auto"/>
                <w:bottom w:val="none" w:sz="0" w:space="0" w:color="auto"/>
                <w:right w:val="none" w:sz="0" w:space="0" w:color="auto"/>
              </w:divBdr>
              <w:divsChild>
                <w:div w:id="1325400727">
                  <w:marLeft w:val="0"/>
                  <w:marRight w:val="0"/>
                  <w:marTop w:val="0"/>
                  <w:marBottom w:val="0"/>
                  <w:divBdr>
                    <w:top w:val="none" w:sz="0" w:space="0" w:color="auto"/>
                    <w:left w:val="none" w:sz="0" w:space="0" w:color="auto"/>
                    <w:bottom w:val="none" w:sz="0" w:space="0" w:color="auto"/>
                    <w:right w:val="none" w:sz="0" w:space="0" w:color="auto"/>
                  </w:divBdr>
                  <w:divsChild>
                    <w:div w:id="439841759">
                      <w:marLeft w:val="0"/>
                      <w:marRight w:val="0"/>
                      <w:marTop w:val="0"/>
                      <w:marBottom w:val="0"/>
                      <w:divBdr>
                        <w:top w:val="none" w:sz="0" w:space="0" w:color="auto"/>
                        <w:left w:val="none" w:sz="0" w:space="0" w:color="auto"/>
                        <w:bottom w:val="none" w:sz="0" w:space="0" w:color="auto"/>
                        <w:right w:val="none" w:sz="0" w:space="0" w:color="auto"/>
                      </w:divBdr>
                      <w:divsChild>
                        <w:div w:id="2091849924">
                          <w:marLeft w:val="0"/>
                          <w:marRight w:val="0"/>
                          <w:marTop w:val="0"/>
                          <w:marBottom w:val="0"/>
                          <w:divBdr>
                            <w:top w:val="none" w:sz="0" w:space="0" w:color="auto"/>
                            <w:left w:val="none" w:sz="0" w:space="0" w:color="auto"/>
                            <w:bottom w:val="none" w:sz="0" w:space="0" w:color="auto"/>
                            <w:right w:val="none" w:sz="0" w:space="0" w:color="auto"/>
                          </w:divBdr>
                          <w:divsChild>
                            <w:div w:id="573513859">
                              <w:marLeft w:val="0"/>
                              <w:marRight w:val="0"/>
                              <w:marTop w:val="225"/>
                              <w:marBottom w:val="225"/>
                              <w:divBdr>
                                <w:top w:val="none" w:sz="0" w:space="0" w:color="auto"/>
                                <w:left w:val="none" w:sz="0" w:space="0" w:color="auto"/>
                                <w:bottom w:val="none" w:sz="0" w:space="0" w:color="auto"/>
                                <w:right w:val="none" w:sz="0" w:space="0" w:color="auto"/>
                              </w:divBdr>
                              <w:divsChild>
                                <w:div w:id="537352299">
                                  <w:marLeft w:val="0"/>
                                  <w:marRight w:val="0"/>
                                  <w:marTop w:val="0"/>
                                  <w:marBottom w:val="0"/>
                                  <w:divBdr>
                                    <w:top w:val="none" w:sz="0" w:space="0" w:color="auto"/>
                                    <w:left w:val="none" w:sz="0" w:space="0" w:color="auto"/>
                                    <w:bottom w:val="none" w:sz="0" w:space="0" w:color="auto"/>
                                    <w:right w:val="none" w:sz="0" w:space="0" w:color="auto"/>
                                  </w:divBdr>
                                </w:div>
                              </w:divsChild>
                            </w:div>
                            <w:div w:id="668216166">
                              <w:marLeft w:val="0"/>
                              <w:marRight w:val="0"/>
                              <w:marTop w:val="225"/>
                              <w:marBottom w:val="225"/>
                              <w:divBdr>
                                <w:top w:val="none" w:sz="0" w:space="0" w:color="auto"/>
                                <w:left w:val="none" w:sz="0" w:space="0" w:color="auto"/>
                                <w:bottom w:val="none" w:sz="0" w:space="0" w:color="auto"/>
                                <w:right w:val="none" w:sz="0" w:space="0" w:color="auto"/>
                              </w:divBdr>
                              <w:divsChild>
                                <w:div w:id="1480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2687">
      <w:bodyDiv w:val="1"/>
      <w:marLeft w:val="0"/>
      <w:marRight w:val="0"/>
      <w:marTop w:val="0"/>
      <w:marBottom w:val="0"/>
      <w:divBdr>
        <w:top w:val="none" w:sz="0" w:space="0" w:color="auto"/>
        <w:left w:val="none" w:sz="0" w:space="0" w:color="auto"/>
        <w:bottom w:val="none" w:sz="0" w:space="0" w:color="auto"/>
        <w:right w:val="none" w:sz="0" w:space="0" w:color="auto"/>
      </w:divBdr>
      <w:divsChild>
        <w:div w:id="231963945">
          <w:marLeft w:val="0"/>
          <w:marRight w:val="0"/>
          <w:marTop w:val="0"/>
          <w:marBottom w:val="0"/>
          <w:divBdr>
            <w:top w:val="none" w:sz="0" w:space="0" w:color="auto"/>
            <w:left w:val="none" w:sz="0" w:space="0" w:color="auto"/>
            <w:bottom w:val="none" w:sz="0" w:space="0" w:color="auto"/>
            <w:right w:val="none" w:sz="0" w:space="0" w:color="auto"/>
          </w:divBdr>
          <w:divsChild>
            <w:div w:id="1703900338">
              <w:marLeft w:val="0"/>
              <w:marRight w:val="0"/>
              <w:marTop w:val="0"/>
              <w:marBottom w:val="0"/>
              <w:divBdr>
                <w:top w:val="none" w:sz="0" w:space="0" w:color="auto"/>
                <w:left w:val="none" w:sz="0" w:space="0" w:color="auto"/>
                <w:bottom w:val="none" w:sz="0" w:space="0" w:color="auto"/>
                <w:right w:val="none" w:sz="0" w:space="0" w:color="auto"/>
              </w:divBdr>
              <w:divsChild>
                <w:div w:id="551768065">
                  <w:marLeft w:val="0"/>
                  <w:marRight w:val="0"/>
                  <w:marTop w:val="0"/>
                  <w:marBottom w:val="0"/>
                  <w:divBdr>
                    <w:top w:val="none" w:sz="0" w:space="0" w:color="auto"/>
                    <w:left w:val="none" w:sz="0" w:space="0" w:color="auto"/>
                    <w:bottom w:val="none" w:sz="0" w:space="0" w:color="auto"/>
                    <w:right w:val="none" w:sz="0" w:space="0" w:color="auto"/>
                  </w:divBdr>
                  <w:divsChild>
                    <w:div w:id="1737779515">
                      <w:marLeft w:val="0"/>
                      <w:marRight w:val="0"/>
                      <w:marTop w:val="0"/>
                      <w:marBottom w:val="0"/>
                      <w:divBdr>
                        <w:top w:val="none" w:sz="0" w:space="0" w:color="auto"/>
                        <w:left w:val="none" w:sz="0" w:space="0" w:color="auto"/>
                        <w:bottom w:val="none" w:sz="0" w:space="0" w:color="auto"/>
                        <w:right w:val="none" w:sz="0" w:space="0" w:color="auto"/>
                      </w:divBdr>
                      <w:divsChild>
                        <w:div w:id="447048854">
                          <w:marLeft w:val="0"/>
                          <w:marRight w:val="0"/>
                          <w:marTop w:val="0"/>
                          <w:marBottom w:val="0"/>
                          <w:divBdr>
                            <w:top w:val="none" w:sz="0" w:space="0" w:color="auto"/>
                            <w:left w:val="none" w:sz="0" w:space="0" w:color="auto"/>
                            <w:bottom w:val="none" w:sz="0" w:space="0" w:color="auto"/>
                            <w:right w:val="none" w:sz="0" w:space="0" w:color="auto"/>
                          </w:divBdr>
                          <w:divsChild>
                            <w:div w:id="911353239">
                              <w:marLeft w:val="0"/>
                              <w:marRight w:val="0"/>
                              <w:marTop w:val="225"/>
                              <w:marBottom w:val="225"/>
                              <w:divBdr>
                                <w:top w:val="none" w:sz="0" w:space="0" w:color="auto"/>
                                <w:left w:val="none" w:sz="0" w:space="0" w:color="auto"/>
                                <w:bottom w:val="none" w:sz="0" w:space="0" w:color="auto"/>
                                <w:right w:val="none" w:sz="0" w:space="0" w:color="auto"/>
                              </w:divBdr>
                              <w:divsChild>
                                <w:div w:id="995694517">
                                  <w:marLeft w:val="0"/>
                                  <w:marRight w:val="0"/>
                                  <w:marTop w:val="0"/>
                                  <w:marBottom w:val="0"/>
                                  <w:divBdr>
                                    <w:top w:val="none" w:sz="0" w:space="0" w:color="auto"/>
                                    <w:left w:val="none" w:sz="0" w:space="0" w:color="auto"/>
                                    <w:bottom w:val="none" w:sz="0" w:space="0" w:color="auto"/>
                                    <w:right w:val="none" w:sz="0" w:space="0" w:color="auto"/>
                                  </w:divBdr>
                                </w:div>
                                <w:div w:id="123894688">
                                  <w:marLeft w:val="0"/>
                                  <w:marRight w:val="0"/>
                                  <w:marTop w:val="0"/>
                                  <w:marBottom w:val="0"/>
                                  <w:divBdr>
                                    <w:top w:val="none" w:sz="0" w:space="0" w:color="auto"/>
                                    <w:left w:val="none" w:sz="0" w:space="0" w:color="auto"/>
                                    <w:bottom w:val="none" w:sz="0" w:space="0" w:color="auto"/>
                                    <w:right w:val="none" w:sz="0" w:space="0" w:color="auto"/>
                                  </w:divBdr>
                                </w:div>
                                <w:div w:id="1725565449">
                                  <w:marLeft w:val="0"/>
                                  <w:marRight w:val="0"/>
                                  <w:marTop w:val="0"/>
                                  <w:marBottom w:val="0"/>
                                  <w:divBdr>
                                    <w:top w:val="none" w:sz="0" w:space="0" w:color="auto"/>
                                    <w:left w:val="none" w:sz="0" w:space="0" w:color="auto"/>
                                    <w:bottom w:val="none" w:sz="0" w:space="0" w:color="auto"/>
                                    <w:right w:val="none" w:sz="0" w:space="0" w:color="auto"/>
                                  </w:divBdr>
                                </w:div>
                                <w:div w:id="3149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00462">
      <w:bodyDiv w:val="1"/>
      <w:marLeft w:val="0"/>
      <w:marRight w:val="0"/>
      <w:marTop w:val="0"/>
      <w:marBottom w:val="0"/>
      <w:divBdr>
        <w:top w:val="none" w:sz="0" w:space="0" w:color="auto"/>
        <w:left w:val="none" w:sz="0" w:space="0" w:color="auto"/>
        <w:bottom w:val="none" w:sz="0" w:space="0" w:color="auto"/>
        <w:right w:val="none" w:sz="0" w:space="0" w:color="auto"/>
      </w:divBdr>
    </w:div>
    <w:div w:id="1141381558">
      <w:bodyDiv w:val="1"/>
      <w:marLeft w:val="0"/>
      <w:marRight w:val="0"/>
      <w:marTop w:val="0"/>
      <w:marBottom w:val="0"/>
      <w:divBdr>
        <w:top w:val="none" w:sz="0" w:space="0" w:color="auto"/>
        <w:left w:val="none" w:sz="0" w:space="0" w:color="auto"/>
        <w:bottom w:val="none" w:sz="0" w:space="0" w:color="auto"/>
        <w:right w:val="none" w:sz="0" w:space="0" w:color="auto"/>
      </w:divBdr>
    </w:div>
    <w:div w:id="1176458008">
      <w:bodyDiv w:val="1"/>
      <w:marLeft w:val="0"/>
      <w:marRight w:val="0"/>
      <w:marTop w:val="0"/>
      <w:marBottom w:val="0"/>
      <w:divBdr>
        <w:top w:val="none" w:sz="0" w:space="0" w:color="auto"/>
        <w:left w:val="none" w:sz="0" w:space="0" w:color="auto"/>
        <w:bottom w:val="none" w:sz="0" w:space="0" w:color="auto"/>
        <w:right w:val="none" w:sz="0" w:space="0" w:color="auto"/>
      </w:divBdr>
      <w:divsChild>
        <w:div w:id="1566988980">
          <w:marLeft w:val="0"/>
          <w:marRight w:val="0"/>
          <w:marTop w:val="0"/>
          <w:marBottom w:val="0"/>
          <w:divBdr>
            <w:top w:val="none" w:sz="0" w:space="0" w:color="auto"/>
            <w:left w:val="none" w:sz="0" w:space="0" w:color="auto"/>
            <w:bottom w:val="none" w:sz="0" w:space="0" w:color="auto"/>
            <w:right w:val="none" w:sz="0" w:space="0" w:color="auto"/>
          </w:divBdr>
          <w:divsChild>
            <w:div w:id="1561398509">
              <w:marLeft w:val="0"/>
              <w:marRight w:val="0"/>
              <w:marTop w:val="0"/>
              <w:marBottom w:val="0"/>
              <w:divBdr>
                <w:top w:val="none" w:sz="0" w:space="0" w:color="auto"/>
                <w:left w:val="none" w:sz="0" w:space="0" w:color="auto"/>
                <w:bottom w:val="none" w:sz="0" w:space="0" w:color="auto"/>
                <w:right w:val="none" w:sz="0" w:space="0" w:color="auto"/>
              </w:divBdr>
              <w:divsChild>
                <w:div w:id="2117021285">
                  <w:marLeft w:val="0"/>
                  <w:marRight w:val="0"/>
                  <w:marTop w:val="0"/>
                  <w:marBottom w:val="0"/>
                  <w:divBdr>
                    <w:top w:val="none" w:sz="0" w:space="0" w:color="auto"/>
                    <w:left w:val="none" w:sz="0" w:space="0" w:color="auto"/>
                    <w:bottom w:val="none" w:sz="0" w:space="0" w:color="auto"/>
                    <w:right w:val="none" w:sz="0" w:space="0" w:color="auto"/>
                  </w:divBdr>
                  <w:divsChild>
                    <w:div w:id="2100709861">
                      <w:marLeft w:val="0"/>
                      <w:marRight w:val="0"/>
                      <w:marTop w:val="0"/>
                      <w:marBottom w:val="0"/>
                      <w:divBdr>
                        <w:top w:val="none" w:sz="0" w:space="0" w:color="auto"/>
                        <w:left w:val="none" w:sz="0" w:space="0" w:color="auto"/>
                        <w:bottom w:val="none" w:sz="0" w:space="0" w:color="auto"/>
                        <w:right w:val="none" w:sz="0" w:space="0" w:color="auto"/>
                      </w:divBdr>
                      <w:divsChild>
                        <w:div w:id="1969166941">
                          <w:marLeft w:val="0"/>
                          <w:marRight w:val="0"/>
                          <w:marTop w:val="0"/>
                          <w:marBottom w:val="0"/>
                          <w:divBdr>
                            <w:top w:val="none" w:sz="0" w:space="0" w:color="auto"/>
                            <w:left w:val="none" w:sz="0" w:space="0" w:color="auto"/>
                            <w:bottom w:val="none" w:sz="0" w:space="0" w:color="auto"/>
                            <w:right w:val="none" w:sz="0" w:space="0" w:color="auto"/>
                          </w:divBdr>
                          <w:divsChild>
                            <w:div w:id="1661227040">
                              <w:marLeft w:val="0"/>
                              <w:marRight w:val="0"/>
                              <w:marTop w:val="225"/>
                              <w:marBottom w:val="225"/>
                              <w:divBdr>
                                <w:top w:val="none" w:sz="0" w:space="0" w:color="auto"/>
                                <w:left w:val="none" w:sz="0" w:space="0" w:color="auto"/>
                                <w:bottom w:val="none" w:sz="0" w:space="0" w:color="auto"/>
                                <w:right w:val="none" w:sz="0" w:space="0" w:color="auto"/>
                              </w:divBdr>
                              <w:divsChild>
                                <w:div w:id="1669137178">
                                  <w:marLeft w:val="0"/>
                                  <w:marRight w:val="0"/>
                                  <w:marTop w:val="0"/>
                                  <w:marBottom w:val="0"/>
                                  <w:divBdr>
                                    <w:top w:val="none" w:sz="0" w:space="0" w:color="auto"/>
                                    <w:left w:val="none" w:sz="0" w:space="0" w:color="auto"/>
                                    <w:bottom w:val="none" w:sz="0" w:space="0" w:color="auto"/>
                                    <w:right w:val="none" w:sz="0" w:space="0" w:color="auto"/>
                                  </w:divBdr>
                                </w:div>
                                <w:div w:id="1978486863">
                                  <w:marLeft w:val="0"/>
                                  <w:marRight w:val="0"/>
                                  <w:marTop w:val="0"/>
                                  <w:marBottom w:val="0"/>
                                  <w:divBdr>
                                    <w:top w:val="none" w:sz="0" w:space="0" w:color="auto"/>
                                    <w:left w:val="none" w:sz="0" w:space="0" w:color="auto"/>
                                    <w:bottom w:val="none" w:sz="0" w:space="0" w:color="auto"/>
                                    <w:right w:val="none" w:sz="0" w:space="0" w:color="auto"/>
                                  </w:divBdr>
                                </w:div>
                                <w:div w:id="2031910270">
                                  <w:marLeft w:val="0"/>
                                  <w:marRight w:val="0"/>
                                  <w:marTop w:val="0"/>
                                  <w:marBottom w:val="0"/>
                                  <w:divBdr>
                                    <w:top w:val="none" w:sz="0" w:space="0" w:color="auto"/>
                                    <w:left w:val="none" w:sz="0" w:space="0" w:color="auto"/>
                                    <w:bottom w:val="none" w:sz="0" w:space="0" w:color="auto"/>
                                    <w:right w:val="none" w:sz="0" w:space="0" w:color="auto"/>
                                  </w:divBdr>
                                </w:div>
                                <w:div w:id="1932159773">
                                  <w:marLeft w:val="0"/>
                                  <w:marRight w:val="0"/>
                                  <w:marTop w:val="0"/>
                                  <w:marBottom w:val="0"/>
                                  <w:divBdr>
                                    <w:top w:val="none" w:sz="0" w:space="0" w:color="auto"/>
                                    <w:left w:val="none" w:sz="0" w:space="0" w:color="auto"/>
                                    <w:bottom w:val="none" w:sz="0" w:space="0" w:color="auto"/>
                                    <w:right w:val="none" w:sz="0" w:space="0" w:color="auto"/>
                                  </w:divBdr>
                                </w:div>
                                <w:div w:id="1744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42665">
      <w:bodyDiv w:val="1"/>
      <w:marLeft w:val="0"/>
      <w:marRight w:val="0"/>
      <w:marTop w:val="0"/>
      <w:marBottom w:val="0"/>
      <w:divBdr>
        <w:top w:val="none" w:sz="0" w:space="0" w:color="auto"/>
        <w:left w:val="none" w:sz="0" w:space="0" w:color="auto"/>
        <w:bottom w:val="none" w:sz="0" w:space="0" w:color="auto"/>
        <w:right w:val="none" w:sz="0" w:space="0" w:color="auto"/>
      </w:divBdr>
      <w:divsChild>
        <w:div w:id="633411971">
          <w:marLeft w:val="0"/>
          <w:marRight w:val="0"/>
          <w:marTop w:val="0"/>
          <w:marBottom w:val="0"/>
          <w:divBdr>
            <w:top w:val="none" w:sz="0" w:space="0" w:color="auto"/>
            <w:left w:val="none" w:sz="0" w:space="0" w:color="auto"/>
            <w:bottom w:val="none" w:sz="0" w:space="0" w:color="auto"/>
            <w:right w:val="none" w:sz="0" w:space="0" w:color="auto"/>
          </w:divBdr>
          <w:divsChild>
            <w:div w:id="1752463670">
              <w:marLeft w:val="0"/>
              <w:marRight w:val="0"/>
              <w:marTop w:val="0"/>
              <w:marBottom w:val="0"/>
              <w:divBdr>
                <w:top w:val="none" w:sz="0" w:space="0" w:color="auto"/>
                <w:left w:val="none" w:sz="0" w:space="0" w:color="auto"/>
                <w:bottom w:val="none" w:sz="0" w:space="0" w:color="auto"/>
                <w:right w:val="none" w:sz="0" w:space="0" w:color="auto"/>
              </w:divBdr>
              <w:divsChild>
                <w:div w:id="1489710319">
                  <w:marLeft w:val="0"/>
                  <w:marRight w:val="0"/>
                  <w:marTop w:val="0"/>
                  <w:marBottom w:val="0"/>
                  <w:divBdr>
                    <w:top w:val="none" w:sz="0" w:space="0" w:color="auto"/>
                    <w:left w:val="none" w:sz="0" w:space="0" w:color="auto"/>
                    <w:bottom w:val="none" w:sz="0" w:space="0" w:color="auto"/>
                    <w:right w:val="none" w:sz="0" w:space="0" w:color="auto"/>
                  </w:divBdr>
                  <w:divsChild>
                    <w:div w:id="977761013">
                      <w:marLeft w:val="0"/>
                      <w:marRight w:val="0"/>
                      <w:marTop w:val="0"/>
                      <w:marBottom w:val="0"/>
                      <w:divBdr>
                        <w:top w:val="none" w:sz="0" w:space="0" w:color="auto"/>
                        <w:left w:val="none" w:sz="0" w:space="0" w:color="auto"/>
                        <w:bottom w:val="none" w:sz="0" w:space="0" w:color="auto"/>
                        <w:right w:val="none" w:sz="0" w:space="0" w:color="auto"/>
                      </w:divBdr>
                      <w:divsChild>
                        <w:div w:id="827332531">
                          <w:marLeft w:val="0"/>
                          <w:marRight w:val="0"/>
                          <w:marTop w:val="0"/>
                          <w:marBottom w:val="0"/>
                          <w:divBdr>
                            <w:top w:val="none" w:sz="0" w:space="0" w:color="auto"/>
                            <w:left w:val="none" w:sz="0" w:space="0" w:color="auto"/>
                            <w:bottom w:val="none" w:sz="0" w:space="0" w:color="auto"/>
                            <w:right w:val="none" w:sz="0" w:space="0" w:color="auto"/>
                          </w:divBdr>
                          <w:divsChild>
                            <w:div w:id="131563480">
                              <w:marLeft w:val="0"/>
                              <w:marRight w:val="0"/>
                              <w:marTop w:val="225"/>
                              <w:marBottom w:val="225"/>
                              <w:divBdr>
                                <w:top w:val="none" w:sz="0" w:space="0" w:color="auto"/>
                                <w:left w:val="none" w:sz="0" w:space="0" w:color="auto"/>
                                <w:bottom w:val="none" w:sz="0" w:space="0" w:color="auto"/>
                                <w:right w:val="none" w:sz="0" w:space="0" w:color="auto"/>
                              </w:divBdr>
                              <w:divsChild>
                                <w:div w:id="2077777468">
                                  <w:marLeft w:val="0"/>
                                  <w:marRight w:val="0"/>
                                  <w:marTop w:val="0"/>
                                  <w:marBottom w:val="0"/>
                                  <w:divBdr>
                                    <w:top w:val="none" w:sz="0" w:space="0" w:color="auto"/>
                                    <w:left w:val="none" w:sz="0" w:space="0" w:color="auto"/>
                                    <w:bottom w:val="none" w:sz="0" w:space="0" w:color="auto"/>
                                    <w:right w:val="none" w:sz="0" w:space="0" w:color="auto"/>
                                  </w:divBdr>
                                </w:div>
                                <w:div w:id="897671355">
                                  <w:marLeft w:val="0"/>
                                  <w:marRight w:val="0"/>
                                  <w:marTop w:val="0"/>
                                  <w:marBottom w:val="0"/>
                                  <w:divBdr>
                                    <w:top w:val="none" w:sz="0" w:space="0" w:color="auto"/>
                                    <w:left w:val="none" w:sz="0" w:space="0" w:color="auto"/>
                                    <w:bottom w:val="none" w:sz="0" w:space="0" w:color="auto"/>
                                    <w:right w:val="none" w:sz="0" w:space="0" w:color="auto"/>
                                  </w:divBdr>
                                </w:div>
                                <w:div w:id="365526358">
                                  <w:marLeft w:val="0"/>
                                  <w:marRight w:val="0"/>
                                  <w:marTop w:val="0"/>
                                  <w:marBottom w:val="0"/>
                                  <w:divBdr>
                                    <w:top w:val="none" w:sz="0" w:space="0" w:color="auto"/>
                                    <w:left w:val="none" w:sz="0" w:space="0" w:color="auto"/>
                                    <w:bottom w:val="none" w:sz="0" w:space="0" w:color="auto"/>
                                    <w:right w:val="none" w:sz="0" w:space="0" w:color="auto"/>
                                  </w:divBdr>
                                </w:div>
                                <w:div w:id="19878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3354">
      <w:bodyDiv w:val="1"/>
      <w:marLeft w:val="0"/>
      <w:marRight w:val="0"/>
      <w:marTop w:val="0"/>
      <w:marBottom w:val="0"/>
      <w:divBdr>
        <w:top w:val="none" w:sz="0" w:space="0" w:color="auto"/>
        <w:left w:val="none" w:sz="0" w:space="0" w:color="auto"/>
        <w:bottom w:val="none" w:sz="0" w:space="0" w:color="auto"/>
        <w:right w:val="none" w:sz="0" w:space="0" w:color="auto"/>
      </w:divBdr>
    </w:div>
    <w:div w:id="1461455945">
      <w:bodyDiv w:val="1"/>
      <w:marLeft w:val="0"/>
      <w:marRight w:val="0"/>
      <w:marTop w:val="0"/>
      <w:marBottom w:val="0"/>
      <w:divBdr>
        <w:top w:val="none" w:sz="0" w:space="0" w:color="auto"/>
        <w:left w:val="none" w:sz="0" w:space="0" w:color="auto"/>
        <w:bottom w:val="none" w:sz="0" w:space="0" w:color="auto"/>
        <w:right w:val="none" w:sz="0" w:space="0" w:color="auto"/>
      </w:divBdr>
    </w:div>
    <w:div w:id="1475752446">
      <w:bodyDiv w:val="1"/>
      <w:marLeft w:val="0"/>
      <w:marRight w:val="0"/>
      <w:marTop w:val="0"/>
      <w:marBottom w:val="0"/>
      <w:divBdr>
        <w:top w:val="none" w:sz="0" w:space="0" w:color="auto"/>
        <w:left w:val="none" w:sz="0" w:space="0" w:color="auto"/>
        <w:bottom w:val="none" w:sz="0" w:space="0" w:color="auto"/>
        <w:right w:val="none" w:sz="0" w:space="0" w:color="auto"/>
      </w:divBdr>
      <w:divsChild>
        <w:div w:id="314919173">
          <w:marLeft w:val="0"/>
          <w:marRight w:val="0"/>
          <w:marTop w:val="0"/>
          <w:marBottom w:val="0"/>
          <w:divBdr>
            <w:top w:val="none" w:sz="0" w:space="0" w:color="auto"/>
            <w:left w:val="none" w:sz="0" w:space="0" w:color="auto"/>
            <w:bottom w:val="none" w:sz="0" w:space="0" w:color="auto"/>
            <w:right w:val="none" w:sz="0" w:space="0" w:color="auto"/>
          </w:divBdr>
          <w:divsChild>
            <w:div w:id="1230530197">
              <w:marLeft w:val="0"/>
              <w:marRight w:val="0"/>
              <w:marTop w:val="0"/>
              <w:marBottom w:val="0"/>
              <w:divBdr>
                <w:top w:val="none" w:sz="0" w:space="0" w:color="auto"/>
                <w:left w:val="none" w:sz="0" w:space="0" w:color="auto"/>
                <w:bottom w:val="none" w:sz="0" w:space="0" w:color="auto"/>
                <w:right w:val="none" w:sz="0" w:space="0" w:color="auto"/>
              </w:divBdr>
              <w:divsChild>
                <w:div w:id="1431899476">
                  <w:marLeft w:val="0"/>
                  <w:marRight w:val="0"/>
                  <w:marTop w:val="0"/>
                  <w:marBottom w:val="0"/>
                  <w:divBdr>
                    <w:top w:val="none" w:sz="0" w:space="0" w:color="auto"/>
                    <w:left w:val="none" w:sz="0" w:space="0" w:color="auto"/>
                    <w:bottom w:val="none" w:sz="0" w:space="0" w:color="auto"/>
                    <w:right w:val="none" w:sz="0" w:space="0" w:color="auto"/>
                  </w:divBdr>
                  <w:divsChild>
                    <w:div w:id="743912947">
                      <w:marLeft w:val="0"/>
                      <w:marRight w:val="0"/>
                      <w:marTop w:val="0"/>
                      <w:marBottom w:val="0"/>
                      <w:divBdr>
                        <w:top w:val="none" w:sz="0" w:space="0" w:color="auto"/>
                        <w:left w:val="none" w:sz="0" w:space="0" w:color="auto"/>
                        <w:bottom w:val="none" w:sz="0" w:space="0" w:color="auto"/>
                        <w:right w:val="none" w:sz="0" w:space="0" w:color="auto"/>
                      </w:divBdr>
                      <w:divsChild>
                        <w:div w:id="821896095">
                          <w:marLeft w:val="0"/>
                          <w:marRight w:val="0"/>
                          <w:marTop w:val="0"/>
                          <w:marBottom w:val="0"/>
                          <w:divBdr>
                            <w:top w:val="none" w:sz="0" w:space="0" w:color="auto"/>
                            <w:left w:val="none" w:sz="0" w:space="0" w:color="auto"/>
                            <w:bottom w:val="none" w:sz="0" w:space="0" w:color="auto"/>
                            <w:right w:val="none" w:sz="0" w:space="0" w:color="auto"/>
                          </w:divBdr>
                          <w:divsChild>
                            <w:div w:id="962542470">
                              <w:marLeft w:val="0"/>
                              <w:marRight w:val="0"/>
                              <w:marTop w:val="225"/>
                              <w:marBottom w:val="225"/>
                              <w:divBdr>
                                <w:top w:val="none" w:sz="0" w:space="0" w:color="auto"/>
                                <w:left w:val="none" w:sz="0" w:space="0" w:color="auto"/>
                                <w:bottom w:val="none" w:sz="0" w:space="0" w:color="auto"/>
                                <w:right w:val="none" w:sz="0" w:space="0" w:color="auto"/>
                              </w:divBdr>
                              <w:divsChild>
                                <w:div w:id="901984407">
                                  <w:marLeft w:val="0"/>
                                  <w:marRight w:val="0"/>
                                  <w:marTop w:val="0"/>
                                  <w:marBottom w:val="0"/>
                                  <w:divBdr>
                                    <w:top w:val="none" w:sz="0" w:space="0" w:color="auto"/>
                                    <w:left w:val="none" w:sz="0" w:space="0" w:color="auto"/>
                                    <w:bottom w:val="none" w:sz="0" w:space="0" w:color="auto"/>
                                    <w:right w:val="none" w:sz="0" w:space="0" w:color="auto"/>
                                  </w:divBdr>
                                </w:div>
                              </w:divsChild>
                            </w:div>
                            <w:div w:id="640038520">
                              <w:marLeft w:val="0"/>
                              <w:marRight w:val="0"/>
                              <w:marTop w:val="225"/>
                              <w:marBottom w:val="225"/>
                              <w:divBdr>
                                <w:top w:val="none" w:sz="0" w:space="0" w:color="auto"/>
                                <w:left w:val="none" w:sz="0" w:space="0" w:color="auto"/>
                                <w:bottom w:val="none" w:sz="0" w:space="0" w:color="auto"/>
                                <w:right w:val="none" w:sz="0" w:space="0" w:color="auto"/>
                              </w:divBdr>
                              <w:divsChild>
                                <w:div w:id="431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121">
      <w:bodyDiv w:val="1"/>
      <w:marLeft w:val="0"/>
      <w:marRight w:val="0"/>
      <w:marTop w:val="0"/>
      <w:marBottom w:val="0"/>
      <w:divBdr>
        <w:top w:val="none" w:sz="0" w:space="0" w:color="auto"/>
        <w:left w:val="none" w:sz="0" w:space="0" w:color="auto"/>
        <w:bottom w:val="none" w:sz="0" w:space="0" w:color="auto"/>
        <w:right w:val="none" w:sz="0" w:space="0" w:color="auto"/>
      </w:divBdr>
    </w:div>
    <w:div w:id="1586650556">
      <w:bodyDiv w:val="1"/>
      <w:marLeft w:val="0"/>
      <w:marRight w:val="0"/>
      <w:marTop w:val="0"/>
      <w:marBottom w:val="0"/>
      <w:divBdr>
        <w:top w:val="none" w:sz="0" w:space="0" w:color="auto"/>
        <w:left w:val="none" w:sz="0" w:space="0" w:color="auto"/>
        <w:bottom w:val="none" w:sz="0" w:space="0" w:color="auto"/>
        <w:right w:val="none" w:sz="0" w:space="0" w:color="auto"/>
      </w:divBdr>
    </w:div>
    <w:div w:id="1648699837">
      <w:bodyDiv w:val="1"/>
      <w:marLeft w:val="0"/>
      <w:marRight w:val="0"/>
      <w:marTop w:val="0"/>
      <w:marBottom w:val="0"/>
      <w:divBdr>
        <w:top w:val="none" w:sz="0" w:space="0" w:color="auto"/>
        <w:left w:val="none" w:sz="0" w:space="0" w:color="auto"/>
        <w:bottom w:val="none" w:sz="0" w:space="0" w:color="auto"/>
        <w:right w:val="none" w:sz="0" w:space="0" w:color="auto"/>
      </w:divBdr>
    </w:div>
    <w:div w:id="1738937111">
      <w:bodyDiv w:val="1"/>
      <w:marLeft w:val="0"/>
      <w:marRight w:val="0"/>
      <w:marTop w:val="0"/>
      <w:marBottom w:val="0"/>
      <w:divBdr>
        <w:top w:val="none" w:sz="0" w:space="0" w:color="auto"/>
        <w:left w:val="none" w:sz="0" w:space="0" w:color="auto"/>
        <w:bottom w:val="none" w:sz="0" w:space="0" w:color="auto"/>
        <w:right w:val="none" w:sz="0" w:space="0" w:color="auto"/>
      </w:divBdr>
    </w:div>
    <w:div w:id="1751923373">
      <w:bodyDiv w:val="1"/>
      <w:marLeft w:val="0"/>
      <w:marRight w:val="0"/>
      <w:marTop w:val="0"/>
      <w:marBottom w:val="0"/>
      <w:divBdr>
        <w:top w:val="none" w:sz="0" w:space="0" w:color="auto"/>
        <w:left w:val="none" w:sz="0" w:space="0" w:color="auto"/>
        <w:bottom w:val="none" w:sz="0" w:space="0" w:color="auto"/>
        <w:right w:val="none" w:sz="0" w:space="0" w:color="auto"/>
      </w:divBdr>
    </w:div>
    <w:div w:id="1848324706">
      <w:bodyDiv w:val="1"/>
      <w:marLeft w:val="0"/>
      <w:marRight w:val="0"/>
      <w:marTop w:val="0"/>
      <w:marBottom w:val="0"/>
      <w:divBdr>
        <w:top w:val="none" w:sz="0" w:space="0" w:color="auto"/>
        <w:left w:val="none" w:sz="0" w:space="0" w:color="auto"/>
        <w:bottom w:val="none" w:sz="0" w:space="0" w:color="auto"/>
        <w:right w:val="none" w:sz="0" w:space="0" w:color="auto"/>
      </w:divBdr>
    </w:div>
    <w:div w:id="18959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0DC920DE1404284C9BF16F681CF88"/>
        <w:category>
          <w:name w:val="Général"/>
          <w:gallery w:val="placeholder"/>
        </w:category>
        <w:types>
          <w:type w:val="bbPlcHdr"/>
        </w:types>
        <w:behaviors>
          <w:behavior w:val="content"/>
        </w:behaviors>
        <w:guid w:val="{42425A26-1E85-43C0-BD26-AA978E31BA7A}"/>
      </w:docPartPr>
      <w:docPartBody>
        <w:p w:rsidR="00F42123" w:rsidRDefault="00F42123" w:rsidP="00F42123">
          <w:pPr>
            <w:pStyle w:val="72E0DC920DE1404284C9BF16F681CF88"/>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23"/>
    <w:rsid w:val="000160C0"/>
    <w:rsid w:val="00042C39"/>
    <w:rsid w:val="00043296"/>
    <w:rsid w:val="000D1DA3"/>
    <w:rsid w:val="000E0C4F"/>
    <w:rsid w:val="000E0CF5"/>
    <w:rsid w:val="001009A1"/>
    <w:rsid w:val="00107B42"/>
    <w:rsid w:val="0011300A"/>
    <w:rsid w:val="00120E26"/>
    <w:rsid w:val="00163499"/>
    <w:rsid w:val="00167BBF"/>
    <w:rsid w:val="00194B10"/>
    <w:rsid w:val="001C4C25"/>
    <w:rsid w:val="00203938"/>
    <w:rsid w:val="00224CB5"/>
    <w:rsid w:val="002F6222"/>
    <w:rsid w:val="003438A6"/>
    <w:rsid w:val="00356F36"/>
    <w:rsid w:val="00417D88"/>
    <w:rsid w:val="004D767C"/>
    <w:rsid w:val="00664A48"/>
    <w:rsid w:val="007253DE"/>
    <w:rsid w:val="00792A6F"/>
    <w:rsid w:val="008148B2"/>
    <w:rsid w:val="008B0659"/>
    <w:rsid w:val="008D586A"/>
    <w:rsid w:val="008D66A5"/>
    <w:rsid w:val="00A645AF"/>
    <w:rsid w:val="00AC02FD"/>
    <w:rsid w:val="00B750F1"/>
    <w:rsid w:val="00BA2039"/>
    <w:rsid w:val="00BC3987"/>
    <w:rsid w:val="00C15292"/>
    <w:rsid w:val="00C16895"/>
    <w:rsid w:val="00C5673C"/>
    <w:rsid w:val="00C72AE5"/>
    <w:rsid w:val="00C82231"/>
    <w:rsid w:val="00CC692D"/>
    <w:rsid w:val="00D35293"/>
    <w:rsid w:val="00D535E1"/>
    <w:rsid w:val="00DC4767"/>
    <w:rsid w:val="00DD2076"/>
    <w:rsid w:val="00DF26EA"/>
    <w:rsid w:val="00E44DB4"/>
    <w:rsid w:val="00EA3DE3"/>
    <w:rsid w:val="00EA4D8F"/>
    <w:rsid w:val="00EB393B"/>
    <w:rsid w:val="00F36DB1"/>
    <w:rsid w:val="00F42123"/>
    <w:rsid w:val="00F758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0DC920DE1404284C9BF16F681CF88">
    <w:name w:val="72E0DC920DE1404284C9BF16F681CF88"/>
    <w:rsid w:val="00F42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07EB-9A99-4B81-A85B-22116480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1414</Words>
  <Characters>7780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Avances – version novembre 2022</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Avances – version novembre 2022</dc:title>
  <dc:creator>47593</dc:creator>
  <cp:lastModifiedBy>WIEME Olivier</cp:lastModifiedBy>
  <cp:revision>9</cp:revision>
  <cp:lastPrinted>2019-07-17T07:12:00Z</cp:lastPrinted>
  <dcterms:created xsi:type="dcterms:W3CDTF">2022-12-02T13:24:00Z</dcterms:created>
  <dcterms:modified xsi:type="dcterms:W3CDTF">2022-12-09T15:03:00Z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2021-07-07T09:12:00Z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34cc30c7-b190-44c6-8f6b-871f5a42b5cf</vt:lpwstr>
  </property>
  <property fmtid="{D5CDD505-2E9C-101B-9397-08002B2CF9AE}" pid="8" name="MSIP_Label_e72a09c5-6e26-4737-a926-47ef1ab198ae_ContentBits">
    <vt:lpwstr>8</vt:lpwstr>
  </property>
</Properties>
</file>