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5B92" w14:textId="0313FE5F" w:rsidR="00297026" w:rsidRDefault="008803A3">
      <w:r>
        <w:rPr>
          <w:noProof/>
        </w:rPr>
        <mc:AlternateContent>
          <mc:Choice Requires="wps">
            <w:drawing>
              <wp:anchor distT="0" distB="0" distL="114300" distR="114300" simplePos="0" relativeHeight="251658242" behindDoc="0" locked="0" layoutInCell="1" allowOverlap="1" wp14:anchorId="54F61702" wp14:editId="791C6788">
                <wp:simplePos x="0" y="0"/>
                <wp:positionH relativeFrom="margin">
                  <wp:posOffset>-603913</wp:posOffset>
                </wp:positionH>
                <wp:positionV relativeFrom="paragraph">
                  <wp:posOffset>156949</wp:posOffset>
                </wp:positionV>
                <wp:extent cx="7185546" cy="2183642"/>
                <wp:effectExtent l="0" t="0" r="0" b="7620"/>
                <wp:wrapNone/>
                <wp:docPr id="5" name="Zone de texte 5"/>
                <wp:cNvGraphicFramePr/>
                <a:graphic xmlns:a="http://schemas.openxmlformats.org/drawingml/2006/main">
                  <a:graphicData uri="http://schemas.microsoft.com/office/word/2010/wordprocessingShape">
                    <wps:wsp>
                      <wps:cNvSpPr txBox="1"/>
                      <wps:spPr>
                        <a:xfrm>
                          <a:off x="0" y="0"/>
                          <a:ext cx="7185546" cy="2183642"/>
                        </a:xfrm>
                        <a:prstGeom prst="rect">
                          <a:avLst/>
                        </a:prstGeom>
                        <a:noFill/>
                        <a:ln w="6350">
                          <a:noFill/>
                        </a:ln>
                      </wps:spPr>
                      <wps:txbx>
                        <w:txbxContent>
                          <w:sdt>
                            <w:sdtPr>
                              <w:rPr>
                                <w:b/>
                                <w:bCs/>
                                <w:color w:val="8EAADB" w:themeColor="accent1" w:themeTint="99"/>
                                <w:sz w:val="110"/>
                                <w:szCs w:val="110"/>
                              </w:rPr>
                              <w:id w:val="-1849636626"/>
                              <w:placeholder>
                                <w:docPart w:val="DefaultPlaceholder_-1854013440"/>
                              </w:placeholder>
                            </w:sdtPr>
                            <w:sdtContent>
                              <w:p w14:paraId="55DC6950" w14:textId="4FABAB87" w:rsidR="009D2F58" w:rsidRDefault="00BF01D0" w:rsidP="009D2F58">
                                <w:pPr>
                                  <w:jc w:val="right"/>
                                  <w:rPr>
                                    <w:b/>
                                    <w:bCs/>
                                    <w:color w:val="8EAADB" w:themeColor="accent1" w:themeTint="99"/>
                                    <w:sz w:val="80"/>
                                    <w:szCs w:val="80"/>
                                  </w:rPr>
                                </w:pPr>
                                <w:r>
                                  <w:rPr>
                                    <w:b/>
                                    <w:bCs/>
                                    <w:color w:val="8EAADB" w:themeColor="accent1" w:themeTint="99"/>
                                    <w:sz w:val="80"/>
                                    <w:szCs w:val="80"/>
                                  </w:rPr>
                                  <w:t xml:space="preserve">LA RECONDUCTION </w:t>
                                </w:r>
                                <w:r w:rsidR="009D2F58">
                                  <w:rPr>
                                    <w:b/>
                                    <w:bCs/>
                                    <w:color w:val="8EAADB" w:themeColor="accent1" w:themeTint="99"/>
                                    <w:sz w:val="80"/>
                                    <w:szCs w:val="80"/>
                                  </w:rPr>
                                  <w:t xml:space="preserve">ET </w:t>
                                </w:r>
                              </w:p>
                              <w:p w14:paraId="10F374D6" w14:textId="6A65939A" w:rsidR="00297026" w:rsidRDefault="00BF01D0" w:rsidP="00297026">
                                <w:pPr>
                                  <w:jc w:val="right"/>
                                  <w:rPr>
                                    <w:b/>
                                    <w:bCs/>
                                    <w:color w:val="8EAADB" w:themeColor="accent1" w:themeTint="99"/>
                                    <w:sz w:val="80"/>
                                    <w:szCs w:val="80"/>
                                  </w:rPr>
                                </w:pPr>
                                <w:r>
                                  <w:rPr>
                                    <w:b/>
                                    <w:bCs/>
                                    <w:color w:val="8EAADB" w:themeColor="accent1" w:themeTint="99"/>
                                    <w:sz w:val="80"/>
                                    <w:szCs w:val="80"/>
                                  </w:rPr>
                                  <w:t>LA RÉPÉTITION</w:t>
                                </w:r>
                              </w:p>
                              <w:p w14:paraId="2C813BA6" w14:textId="52543463" w:rsidR="009D2F58" w:rsidRPr="00297026" w:rsidRDefault="009D2F58" w:rsidP="00297026">
                                <w:pPr>
                                  <w:jc w:val="right"/>
                                  <w:rPr>
                                    <w:b/>
                                    <w:bCs/>
                                    <w:color w:val="8EAADB" w:themeColor="accent1" w:themeTint="99"/>
                                    <w:sz w:val="110"/>
                                    <w:szCs w:val="110"/>
                                  </w:rPr>
                                </w:pPr>
                                <w:r>
                                  <w:rPr>
                                    <w:b/>
                                    <w:bCs/>
                                    <w:color w:val="8EAADB" w:themeColor="accent1" w:themeTint="99"/>
                                    <w:sz w:val="80"/>
                                    <w:szCs w:val="80"/>
                                  </w:rPr>
                                  <w:t>D’UN MARCHÉ</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61702" id="_x0000_t202" coordsize="21600,21600" o:spt="202" path="m,l,21600r21600,l21600,xe">
                <v:stroke joinstyle="miter"/>
                <v:path gradientshapeok="t" o:connecttype="rect"/>
              </v:shapetype>
              <v:shape id="Zone de texte 5" o:spid="_x0000_s1026" type="#_x0000_t202" style="position:absolute;left:0;text-align:left;margin-left:-47.55pt;margin-top:12.35pt;width:565.8pt;height:171.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" filled="f" stroked="f" strokeweight=".5pt">
                <v:textbox>
                  <w:txbxContent>
                    <w:sdt>
                      <w:sdtPr>
                        <w:rPr>
                          <w:b/>
                          <w:bCs/>
                          <w:color w:val="8EAADB" w:themeColor="accent1" w:themeTint="99"/>
                          <w:sz w:val="110"/>
                          <w:szCs w:val="110"/>
                        </w:rPr>
                        <w:id w:val="-1849636626"/>
                        <w:placeholder>
                          <w:docPart w:val="DefaultPlaceholder_-1854013440"/>
                        </w:placeholder>
                      </w:sdtPr>
                      <w:sdtContent>
                        <w:p w14:paraId="55DC6950" w14:textId="4FABAB87" w:rsidR="009D2F58" w:rsidRDefault="00BF01D0" w:rsidP="009D2F58">
                          <w:pPr>
                            <w:jc w:val="right"/>
                            <w:rPr>
                              <w:b/>
                              <w:bCs/>
                              <w:color w:val="8EAADB" w:themeColor="accent1" w:themeTint="99"/>
                              <w:sz w:val="80"/>
                              <w:szCs w:val="80"/>
                            </w:rPr>
                          </w:pPr>
                          <w:r>
                            <w:rPr>
                              <w:b/>
                              <w:bCs/>
                              <w:color w:val="8EAADB" w:themeColor="accent1" w:themeTint="99"/>
                              <w:sz w:val="80"/>
                              <w:szCs w:val="80"/>
                            </w:rPr>
                            <w:t xml:space="preserve">LA RECONDUCTION </w:t>
                          </w:r>
                          <w:r w:rsidR="009D2F58">
                            <w:rPr>
                              <w:b/>
                              <w:bCs/>
                              <w:color w:val="8EAADB" w:themeColor="accent1" w:themeTint="99"/>
                              <w:sz w:val="80"/>
                              <w:szCs w:val="80"/>
                            </w:rPr>
                            <w:t xml:space="preserve">ET </w:t>
                          </w:r>
                        </w:p>
                        <w:p w14:paraId="10F374D6" w14:textId="6A65939A" w:rsidR="00297026" w:rsidRDefault="00BF01D0" w:rsidP="00297026">
                          <w:pPr>
                            <w:jc w:val="right"/>
                            <w:rPr>
                              <w:b/>
                              <w:bCs/>
                              <w:color w:val="8EAADB" w:themeColor="accent1" w:themeTint="99"/>
                              <w:sz w:val="80"/>
                              <w:szCs w:val="80"/>
                            </w:rPr>
                          </w:pPr>
                          <w:r>
                            <w:rPr>
                              <w:b/>
                              <w:bCs/>
                              <w:color w:val="8EAADB" w:themeColor="accent1" w:themeTint="99"/>
                              <w:sz w:val="80"/>
                              <w:szCs w:val="80"/>
                            </w:rPr>
                            <w:t>LA RÉPÉTITION</w:t>
                          </w:r>
                        </w:p>
                        <w:p w14:paraId="2C813BA6" w14:textId="52543463" w:rsidR="009D2F58" w:rsidRPr="00297026" w:rsidRDefault="009D2F58" w:rsidP="00297026">
                          <w:pPr>
                            <w:jc w:val="right"/>
                            <w:rPr>
                              <w:b/>
                              <w:bCs/>
                              <w:color w:val="8EAADB" w:themeColor="accent1" w:themeTint="99"/>
                              <w:sz w:val="110"/>
                              <w:szCs w:val="110"/>
                            </w:rPr>
                          </w:pPr>
                          <w:r>
                            <w:rPr>
                              <w:b/>
                              <w:bCs/>
                              <w:color w:val="8EAADB" w:themeColor="accent1" w:themeTint="99"/>
                              <w:sz w:val="80"/>
                              <w:szCs w:val="80"/>
                            </w:rPr>
                            <w:t>D’UN MARCHÉ</w:t>
                          </w:r>
                        </w:p>
                      </w:sdtContent>
                    </w:sdt>
                  </w:txbxContent>
                </v:textbox>
                <w10:wrap anchorx="margin"/>
              </v:shape>
            </w:pict>
          </mc:Fallback>
        </mc:AlternateContent>
      </w:r>
    </w:p>
    <w:sdt>
      <w:sdtPr>
        <w:id w:val="339214945"/>
        <w:docPartObj>
          <w:docPartGallery w:val="Cover Pages"/>
          <w:docPartUnique/>
        </w:docPartObj>
      </w:sdtPr>
      <w:sdtContent>
        <w:bookmarkStart w:id="0" w:name="_Toc140148170" w:displacedByCustomXml="prev"/>
        <w:p w14:paraId="4C13E3FE" w14:textId="3666067F" w:rsidR="009A2CC1" w:rsidRDefault="00E5569E" w:rsidP="009A2CC1">
          <w:r>
            <w:rPr>
              <w:noProof/>
            </w:rPr>
            <mc:AlternateContent>
              <mc:Choice Requires="wps">
                <w:drawing>
                  <wp:anchor distT="0" distB="0" distL="114300" distR="114300" simplePos="0" relativeHeight="251658244" behindDoc="0" locked="0" layoutInCell="1" allowOverlap="1" wp14:anchorId="11117E36" wp14:editId="630B248C">
                    <wp:simplePos x="0" y="0"/>
                    <wp:positionH relativeFrom="margin">
                      <wp:posOffset>-1047914</wp:posOffset>
                    </wp:positionH>
                    <wp:positionV relativeFrom="paragraph">
                      <wp:posOffset>7212277</wp:posOffset>
                    </wp:positionV>
                    <wp:extent cx="3112200" cy="897255"/>
                    <wp:effectExtent l="2540" t="0" r="0" b="0"/>
                    <wp:wrapNone/>
                    <wp:docPr id="7" name="Zone de texte 7"/>
                    <wp:cNvGraphicFramePr/>
                    <a:graphic xmlns:a="http://schemas.openxmlformats.org/drawingml/2006/main">
                      <a:graphicData uri="http://schemas.microsoft.com/office/word/2010/wordprocessingShape">
                        <wps:wsp>
                          <wps:cNvSpPr txBox="1"/>
                          <wps:spPr>
                            <a:xfrm rot="16200000">
                              <a:off x="0" y="0"/>
                              <a:ext cx="3112200" cy="897255"/>
                            </a:xfrm>
                            <a:prstGeom prst="rect">
                              <a:avLst/>
                            </a:prstGeom>
                            <a:noFill/>
                            <a:ln w="6350">
                              <a:noFill/>
                            </a:ln>
                          </wps:spPr>
                          <wps:txbx>
                            <w:txbxContent>
                              <w:sdt>
                                <w:sdtPr>
                                  <w:rPr>
                                    <w:color w:val="FFFFFF" w:themeColor="background1"/>
                                    <w:sz w:val="72"/>
                                    <w:szCs w:val="72"/>
                                  </w:rPr>
                                  <w:id w:val="-491255168"/>
                                  <w:placeholder>
                                    <w:docPart w:val="DefaultPlaceholder_-1854013440"/>
                                  </w:placeholder>
                                </w:sdtPr>
                                <w:sdtContent>
                                  <w:p w14:paraId="23A101CD" w14:textId="77DBD064" w:rsidR="00297026" w:rsidRPr="00E5569E" w:rsidRDefault="007A5E7A" w:rsidP="00E5569E">
                                    <w:pPr>
                                      <w:jc w:val="right"/>
                                      <w:rPr>
                                        <w:color w:val="FFFFFF" w:themeColor="background1"/>
                                        <w:sz w:val="96"/>
                                        <w:szCs w:val="96"/>
                                      </w:rPr>
                                    </w:pPr>
                                    <w:r>
                                      <w:rPr>
                                        <w:color w:val="FFFFFF" w:themeColor="background1"/>
                                        <w:sz w:val="72"/>
                                        <w:szCs w:val="72"/>
                                      </w:rPr>
                                      <w:t>Juillet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7E36" id="Zone de texte 7" o:spid="_x0000_s1027" type="#_x0000_t202" style="position:absolute;left:0;text-align:left;margin-left:-82.5pt;margin-top:567.9pt;width:245.05pt;height:70.65pt;rotation:-9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" filled="f" stroked="f" strokeweight=".5pt">
                    <v:textbox>
                      <w:txbxContent>
                        <w:sdt>
                          <w:sdtPr>
                            <w:rPr>
                              <w:color w:val="FFFFFF" w:themeColor="background1"/>
                              <w:sz w:val="72"/>
                              <w:szCs w:val="72"/>
                            </w:rPr>
                            <w:id w:val="-491255168"/>
                            <w:placeholder>
                              <w:docPart w:val="DefaultPlaceholder_-1854013440"/>
                            </w:placeholder>
                          </w:sdtPr>
                          <w:sdtContent>
                            <w:p w14:paraId="23A101CD" w14:textId="77DBD064" w:rsidR="00297026" w:rsidRPr="00E5569E" w:rsidRDefault="007A5E7A" w:rsidP="00E5569E">
                              <w:pPr>
                                <w:jc w:val="right"/>
                                <w:rPr>
                                  <w:color w:val="FFFFFF" w:themeColor="background1"/>
                                  <w:sz w:val="96"/>
                                  <w:szCs w:val="96"/>
                                </w:rPr>
                              </w:pPr>
                              <w:r>
                                <w:rPr>
                                  <w:color w:val="FFFFFF" w:themeColor="background1"/>
                                  <w:sz w:val="72"/>
                                  <w:szCs w:val="72"/>
                                </w:rPr>
                                <w:t>Juillet</w:t>
                              </w:r>
                            </w:p>
                          </w:sdtContent>
                        </w:sdt>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0BB8006B" wp14:editId="1CEE98A9">
                    <wp:simplePos x="0" y="0"/>
                    <wp:positionH relativeFrom="margin">
                      <wp:posOffset>-1823985</wp:posOffset>
                    </wp:positionH>
                    <wp:positionV relativeFrom="paragraph">
                      <wp:posOffset>6924978</wp:posOffset>
                    </wp:positionV>
                    <wp:extent cx="3217057" cy="1337715"/>
                    <wp:effectExtent l="0" t="0" r="0" b="0"/>
                    <wp:wrapNone/>
                    <wp:docPr id="6" name="Zone de texte 6"/>
                    <wp:cNvGraphicFramePr/>
                    <a:graphic xmlns:a="http://schemas.openxmlformats.org/drawingml/2006/main">
                      <a:graphicData uri="http://schemas.microsoft.com/office/word/2010/wordprocessingShape">
                        <wps:wsp>
                          <wps:cNvSpPr txBox="1"/>
                          <wps:spPr>
                            <a:xfrm rot="16200000">
                              <a:off x="0" y="0"/>
                              <a:ext cx="3217057" cy="1337715"/>
                            </a:xfrm>
                            <a:prstGeom prst="rect">
                              <a:avLst/>
                            </a:prstGeom>
                            <a:noFill/>
                            <a:ln w="6350">
                              <a:noFill/>
                            </a:ln>
                          </wps:spPr>
                          <wps:txbx>
                            <w:txbxContent>
                              <w:sdt>
                                <w:sdtPr>
                                  <w:rPr>
                                    <w:color w:val="FFFFFF" w:themeColor="background1"/>
                                    <w:sz w:val="144"/>
                                    <w:szCs w:val="144"/>
                                  </w:rPr>
                                  <w:id w:val="-149132394"/>
                                  <w:placeholder>
                                    <w:docPart w:val="DefaultPlaceholder_-1854013440"/>
                                  </w:placeholder>
                                </w:sdtPr>
                                <w:sdtContent>
                                  <w:p w14:paraId="202A03B7" w14:textId="25C46849" w:rsidR="00297026" w:rsidRPr="00E5569E" w:rsidRDefault="007A5E7A" w:rsidP="00297026">
                                    <w:pPr>
                                      <w:jc w:val="right"/>
                                      <w:rPr>
                                        <w:color w:val="FFFFFF" w:themeColor="background1"/>
                                        <w:sz w:val="144"/>
                                        <w:szCs w:val="144"/>
                                      </w:rPr>
                                    </w:pPr>
                                    <w:r>
                                      <w:rPr>
                                        <w:color w:val="FFFFFF" w:themeColor="background1"/>
                                        <w:sz w:val="144"/>
                                        <w:szCs w:val="144"/>
                                      </w:rPr>
                                      <w:t>2024</w:t>
                                    </w:r>
                                  </w:p>
                                </w:sdtContent>
                              </w:sdt>
                              <w:p w14:paraId="6B39F4E3" w14:textId="7AE7C055" w:rsidR="00297026" w:rsidRPr="00E5569E" w:rsidRDefault="00297026" w:rsidP="00297026">
                                <w:pPr>
                                  <w:jc w:val="right"/>
                                  <w:rPr>
                                    <w:b/>
                                    <w:bCs/>
                                    <w:color w:val="8EAADB" w:themeColor="accent1" w:themeTint="99"/>
                                    <w:sz w:val="144"/>
                                    <w:szCs w:val="144"/>
                                  </w:rPr>
                                </w:pPr>
                                <w:r w:rsidRPr="00E5569E">
                                  <w:rPr>
                                    <w:b/>
                                    <w:bCs/>
                                    <w:color w:val="8EAADB" w:themeColor="accent1" w:themeTint="99"/>
                                    <w:sz w:val="144"/>
                                    <w:szCs w:val="144"/>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8006B" id="Zone de texte 6" o:spid="_x0000_s1028" type="#_x0000_t202" style="position:absolute;left:0;text-align:left;margin-left:-143.6pt;margin-top:545.25pt;width:253.3pt;height:105.35pt;rotation:-9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" filled="f" stroked="f" strokeweight=".5pt">
                    <v:textbox>
                      <w:txbxContent>
                        <w:sdt>
                          <w:sdtPr>
                            <w:rPr>
                              <w:color w:val="FFFFFF" w:themeColor="background1"/>
                              <w:sz w:val="144"/>
                              <w:szCs w:val="144"/>
                            </w:rPr>
                            <w:id w:val="-149132394"/>
                            <w:placeholder>
                              <w:docPart w:val="DefaultPlaceholder_-1854013440"/>
                            </w:placeholder>
                          </w:sdtPr>
                          <w:sdtContent>
                            <w:p w14:paraId="202A03B7" w14:textId="25C46849" w:rsidR="00297026" w:rsidRPr="00E5569E" w:rsidRDefault="007A5E7A" w:rsidP="00297026">
                              <w:pPr>
                                <w:jc w:val="right"/>
                                <w:rPr>
                                  <w:color w:val="FFFFFF" w:themeColor="background1"/>
                                  <w:sz w:val="144"/>
                                  <w:szCs w:val="144"/>
                                </w:rPr>
                              </w:pPr>
                              <w:r>
                                <w:rPr>
                                  <w:color w:val="FFFFFF" w:themeColor="background1"/>
                                  <w:sz w:val="144"/>
                                  <w:szCs w:val="144"/>
                                </w:rPr>
                                <w:t>2024</w:t>
                              </w:r>
                            </w:p>
                          </w:sdtContent>
                        </w:sdt>
                        <w:p w14:paraId="6B39F4E3" w14:textId="7AE7C055" w:rsidR="00297026" w:rsidRPr="00E5569E" w:rsidRDefault="00297026" w:rsidP="00297026">
                          <w:pPr>
                            <w:jc w:val="right"/>
                            <w:rPr>
                              <w:b/>
                              <w:bCs/>
                              <w:color w:val="8EAADB" w:themeColor="accent1" w:themeTint="99"/>
                              <w:sz w:val="144"/>
                              <w:szCs w:val="144"/>
                            </w:rPr>
                          </w:pPr>
                          <w:r w:rsidRPr="00E5569E">
                            <w:rPr>
                              <w:b/>
                              <w:bCs/>
                              <w:color w:val="8EAADB" w:themeColor="accent1" w:themeTint="99"/>
                              <w:sz w:val="144"/>
                              <w:szCs w:val="144"/>
                            </w:rPr>
                            <w:t>ja</w:t>
                          </w:r>
                        </w:p>
                      </w:txbxContent>
                    </v:textbox>
                    <w10:wrap anchorx="margin"/>
                  </v:shape>
                </w:pict>
              </mc:Fallback>
            </mc:AlternateContent>
          </w:r>
          <w:r w:rsidR="00147A98" w:rsidRPr="00297026">
            <w:rPr>
              <w:noProof/>
            </w:rPr>
            <mc:AlternateContent>
              <mc:Choice Requires="wps">
                <w:drawing>
                  <wp:anchor distT="0" distB="0" distL="114300" distR="114300" simplePos="0" relativeHeight="251658241" behindDoc="1" locked="0" layoutInCell="1" allowOverlap="1" wp14:anchorId="60D07609" wp14:editId="1068E80A">
                    <wp:simplePos x="0" y="0"/>
                    <wp:positionH relativeFrom="page">
                      <wp:align>right</wp:align>
                    </wp:positionH>
                    <wp:positionV relativeFrom="paragraph">
                      <wp:posOffset>2233930</wp:posOffset>
                    </wp:positionV>
                    <wp:extent cx="7552267" cy="7263976"/>
                    <wp:effectExtent l="0" t="0" r="0" b="0"/>
                    <wp:wrapNone/>
                    <wp:docPr id="3" name="Rectangle 3"/>
                    <wp:cNvGraphicFramePr/>
                    <a:graphic xmlns:a="http://schemas.openxmlformats.org/drawingml/2006/main">
                      <a:graphicData uri="http://schemas.microsoft.com/office/word/2010/wordprocessingShape">
                        <wps:wsp>
                          <wps:cNvSpPr/>
                          <wps:spPr>
                            <a:xfrm>
                              <a:off x="0" y="0"/>
                              <a:ext cx="7552267" cy="7263976"/>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B9FEC" id="Rectangle 3" o:spid="_x0000_s1026" style="position:absolute;margin-left:543.45pt;margin-top:175.9pt;width:594.65pt;height:57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" fillcolor="#8eaadb [1940]" stroked="f" strokeweight="1pt">
                    <w10:wrap anchorx="page"/>
                  </v:rect>
                </w:pict>
              </mc:Fallback>
            </mc:AlternateContent>
          </w:r>
          <w:r w:rsidR="00147A98">
            <w:rPr>
              <w:noProof/>
            </w:rPr>
            <w:drawing>
              <wp:anchor distT="0" distB="0" distL="114300" distR="114300" simplePos="0" relativeHeight="251658240" behindDoc="0" locked="0" layoutInCell="1" allowOverlap="1" wp14:anchorId="43D16B94" wp14:editId="6ED0FF48">
                <wp:simplePos x="0" y="0"/>
                <wp:positionH relativeFrom="margin">
                  <wp:align>center</wp:align>
                </wp:positionH>
                <wp:positionV relativeFrom="margin">
                  <wp:posOffset>8672195</wp:posOffset>
                </wp:positionV>
                <wp:extent cx="2057400" cy="913770"/>
                <wp:effectExtent l="0" t="0" r="0" b="0"/>
                <wp:wrapThrough wrapText="bothSides">
                  <wp:wrapPolygon edited="0">
                    <wp:start x="2600" y="2702"/>
                    <wp:lineTo x="1400" y="8556"/>
                    <wp:lineTo x="1400" y="10357"/>
                    <wp:lineTo x="5800" y="18463"/>
                    <wp:lineTo x="10800" y="18463"/>
                    <wp:lineTo x="12600" y="17562"/>
                    <wp:lineTo x="20200" y="12158"/>
                    <wp:lineTo x="20400" y="7205"/>
                    <wp:lineTo x="12600" y="3603"/>
                    <wp:lineTo x="3800" y="2702"/>
                    <wp:lineTo x="2600" y="2702"/>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913770"/>
                        </a:xfrm>
                        <a:prstGeom prst="rect">
                          <a:avLst/>
                        </a:prstGeom>
                        <a:noFill/>
                        <a:ln>
                          <a:noFill/>
                        </a:ln>
                      </pic:spPr>
                    </pic:pic>
                  </a:graphicData>
                </a:graphic>
              </wp:anchor>
            </w:drawing>
          </w:r>
        </w:p>
      </w:sdtContent>
    </w:sdt>
    <w:bookmarkEnd w:id="0" w:displacedByCustomXml="prev"/>
    <w:p w14:paraId="1D34C3C6" w14:textId="3E1982A1" w:rsidR="009A2CC1" w:rsidRDefault="009A2CC1" w:rsidP="009A2CC1">
      <w:pPr>
        <w:pStyle w:val="Titre2"/>
      </w:pPr>
      <w:r>
        <w:br w:type="page"/>
      </w:r>
    </w:p>
    <w:sdt>
      <w:sdtPr>
        <w:rPr>
          <w:rFonts w:ascii="Century Gothic" w:eastAsiaTheme="minorHAnsi" w:hAnsi="Century Gothic" w:cstheme="minorBidi"/>
          <w:color w:val="auto"/>
          <w:sz w:val="21"/>
          <w:szCs w:val="40"/>
          <w:lang w:val="fr-FR" w:eastAsia="en-US"/>
        </w:rPr>
        <w:id w:val="680087196"/>
        <w:docPartObj>
          <w:docPartGallery w:val="Table of Contents"/>
          <w:docPartUnique/>
        </w:docPartObj>
      </w:sdtPr>
      <w:sdtEndPr>
        <w:rPr>
          <w:b/>
          <w:bCs/>
        </w:rPr>
      </w:sdtEndPr>
      <w:sdtContent>
        <w:p w14:paraId="0C4742FF" w14:textId="4D1AB2A7" w:rsidR="009A2CC1" w:rsidRDefault="009A2CC1" w:rsidP="00406EB7">
          <w:pPr>
            <w:pStyle w:val="En-ttedetabledesmatires"/>
          </w:pPr>
          <w:r>
            <w:rPr>
              <w:lang w:val="fr-FR"/>
            </w:rPr>
            <w:t>Table des matières</w:t>
          </w:r>
        </w:p>
        <w:p w14:paraId="62B8BB94" w14:textId="5FE71352" w:rsidR="006707B5" w:rsidRDefault="00EE2F0C">
          <w:pPr>
            <w:pStyle w:val="TM1"/>
            <w:tabs>
              <w:tab w:val="right" w:leader="dot" w:pos="9736"/>
            </w:tabs>
            <w:rPr>
              <w:rFonts w:asciiTheme="minorHAnsi" w:eastAsiaTheme="minorEastAsia" w:hAnsiTheme="minorHAnsi"/>
              <w:noProof/>
              <w:kern w:val="2"/>
              <w:sz w:val="22"/>
              <w:szCs w:val="22"/>
              <w:lang w:eastAsia="fr-BE"/>
              <w14:ligatures w14:val="standardContextual"/>
            </w:rPr>
          </w:pPr>
          <w:r>
            <w:fldChar w:fldCharType="begin"/>
          </w:r>
          <w:r>
            <w:instrText xml:space="preserve"> TOC \o "1-4" \h \z \u </w:instrText>
          </w:r>
          <w:r>
            <w:fldChar w:fldCharType="separate"/>
          </w:r>
          <w:hyperlink w:anchor="_Toc171589690" w:history="1">
            <w:r w:rsidR="006707B5" w:rsidRPr="001B57E9">
              <w:rPr>
                <w:rStyle w:val="Lienhypertexte"/>
                <w:noProof/>
              </w:rPr>
              <w:t>Notions</w:t>
            </w:r>
            <w:r w:rsidR="006707B5">
              <w:rPr>
                <w:noProof/>
                <w:webHidden/>
              </w:rPr>
              <w:tab/>
            </w:r>
            <w:r w:rsidR="006707B5">
              <w:rPr>
                <w:noProof/>
                <w:webHidden/>
              </w:rPr>
              <w:fldChar w:fldCharType="begin"/>
            </w:r>
            <w:r w:rsidR="006707B5">
              <w:rPr>
                <w:noProof/>
                <w:webHidden/>
              </w:rPr>
              <w:instrText xml:space="preserve"> PAGEREF _Toc171589690 \h </w:instrText>
            </w:r>
            <w:r w:rsidR="006707B5">
              <w:rPr>
                <w:noProof/>
                <w:webHidden/>
              </w:rPr>
            </w:r>
            <w:r w:rsidR="006707B5">
              <w:rPr>
                <w:noProof/>
                <w:webHidden/>
              </w:rPr>
              <w:fldChar w:fldCharType="separate"/>
            </w:r>
            <w:r w:rsidR="00FD6435">
              <w:rPr>
                <w:noProof/>
                <w:webHidden/>
              </w:rPr>
              <w:t>2</w:t>
            </w:r>
            <w:r w:rsidR="006707B5">
              <w:rPr>
                <w:noProof/>
                <w:webHidden/>
              </w:rPr>
              <w:fldChar w:fldCharType="end"/>
            </w:r>
          </w:hyperlink>
        </w:p>
        <w:p w14:paraId="64010F1B" w14:textId="0337F66D"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1" w:history="1">
            <w:r w:rsidR="006707B5" w:rsidRPr="001B57E9">
              <w:rPr>
                <w:rStyle w:val="Lienhypertexte"/>
                <w:noProof/>
              </w:rPr>
              <w:t>Base légale</w:t>
            </w:r>
            <w:r w:rsidR="006707B5">
              <w:rPr>
                <w:noProof/>
                <w:webHidden/>
              </w:rPr>
              <w:tab/>
            </w:r>
            <w:r w:rsidR="006707B5">
              <w:rPr>
                <w:noProof/>
                <w:webHidden/>
              </w:rPr>
              <w:fldChar w:fldCharType="begin"/>
            </w:r>
            <w:r w:rsidR="006707B5">
              <w:rPr>
                <w:noProof/>
                <w:webHidden/>
              </w:rPr>
              <w:instrText xml:space="preserve"> PAGEREF _Toc171589691 \h </w:instrText>
            </w:r>
            <w:r w:rsidR="006707B5">
              <w:rPr>
                <w:noProof/>
                <w:webHidden/>
              </w:rPr>
            </w:r>
            <w:r w:rsidR="006707B5">
              <w:rPr>
                <w:noProof/>
                <w:webHidden/>
              </w:rPr>
              <w:fldChar w:fldCharType="separate"/>
            </w:r>
            <w:r w:rsidR="00FD6435">
              <w:rPr>
                <w:noProof/>
                <w:webHidden/>
              </w:rPr>
              <w:t>2</w:t>
            </w:r>
            <w:r w:rsidR="006707B5">
              <w:rPr>
                <w:noProof/>
                <w:webHidden/>
              </w:rPr>
              <w:fldChar w:fldCharType="end"/>
            </w:r>
          </w:hyperlink>
        </w:p>
        <w:p w14:paraId="17AD5FB2" w14:textId="26CD8694"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2" w:history="1">
            <w:r w:rsidR="006707B5" w:rsidRPr="001B57E9">
              <w:rPr>
                <w:rStyle w:val="Lienhypertexte"/>
                <w:noProof/>
              </w:rPr>
              <w:t>Conditions légales</w:t>
            </w:r>
            <w:r w:rsidR="006707B5">
              <w:rPr>
                <w:noProof/>
                <w:webHidden/>
              </w:rPr>
              <w:tab/>
            </w:r>
            <w:r w:rsidR="006707B5">
              <w:rPr>
                <w:noProof/>
                <w:webHidden/>
              </w:rPr>
              <w:fldChar w:fldCharType="begin"/>
            </w:r>
            <w:r w:rsidR="006707B5">
              <w:rPr>
                <w:noProof/>
                <w:webHidden/>
              </w:rPr>
              <w:instrText xml:space="preserve"> PAGEREF _Toc171589692 \h </w:instrText>
            </w:r>
            <w:r w:rsidR="006707B5">
              <w:rPr>
                <w:noProof/>
                <w:webHidden/>
              </w:rPr>
            </w:r>
            <w:r w:rsidR="006707B5">
              <w:rPr>
                <w:noProof/>
                <w:webHidden/>
              </w:rPr>
              <w:fldChar w:fldCharType="separate"/>
            </w:r>
            <w:r w:rsidR="00FD6435">
              <w:rPr>
                <w:noProof/>
                <w:webHidden/>
              </w:rPr>
              <w:t>2</w:t>
            </w:r>
            <w:r w:rsidR="006707B5">
              <w:rPr>
                <w:noProof/>
                <w:webHidden/>
              </w:rPr>
              <w:fldChar w:fldCharType="end"/>
            </w:r>
          </w:hyperlink>
        </w:p>
        <w:p w14:paraId="713CDDD1" w14:textId="522EE6CA"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3" w:history="1">
            <w:r w:rsidR="006707B5" w:rsidRPr="001B57E9">
              <w:rPr>
                <w:rStyle w:val="Lienhypertexte"/>
                <w:noProof/>
              </w:rPr>
              <w:t>Différences entre les mécanismes</w:t>
            </w:r>
            <w:r w:rsidR="006707B5">
              <w:rPr>
                <w:noProof/>
                <w:webHidden/>
              </w:rPr>
              <w:tab/>
            </w:r>
            <w:r w:rsidR="006707B5">
              <w:rPr>
                <w:noProof/>
                <w:webHidden/>
              </w:rPr>
              <w:fldChar w:fldCharType="begin"/>
            </w:r>
            <w:r w:rsidR="006707B5">
              <w:rPr>
                <w:noProof/>
                <w:webHidden/>
              </w:rPr>
              <w:instrText xml:space="preserve"> PAGEREF _Toc171589693 \h </w:instrText>
            </w:r>
            <w:r w:rsidR="006707B5">
              <w:rPr>
                <w:noProof/>
                <w:webHidden/>
              </w:rPr>
            </w:r>
            <w:r w:rsidR="006707B5">
              <w:rPr>
                <w:noProof/>
                <w:webHidden/>
              </w:rPr>
              <w:fldChar w:fldCharType="separate"/>
            </w:r>
            <w:r w:rsidR="00FD6435">
              <w:rPr>
                <w:noProof/>
                <w:webHidden/>
              </w:rPr>
              <w:t>3</w:t>
            </w:r>
            <w:r w:rsidR="006707B5">
              <w:rPr>
                <w:noProof/>
                <w:webHidden/>
              </w:rPr>
              <w:fldChar w:fldCharType="end"/>
            </w:r>
          </w:hyperlink>
        </w:p>
        <w:p w14:paraId="471696EF" w14:textId="2102D4FE"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4" w:history="1">
            <w:r w:rsidR="006707B5" w:rsidRPr="001B57E9">
              <w:rPr>
                <w:rStyle w:val="Lienhypertexte"/>
                <w:noProof/>
              </w:rPr>
              <w:t>Point commun entre les mécanismes (uniquement en cas de mécanisme de reconduction expresse)</w:t>
            </w:r>
            <w:r w:rsidR="006707B5">
              <w:rPr>
                <w:noProof/>
                <w:webHidden/>
              </w:rPr>
              <w:tab/>
            </w:r>
            <w:r w:rsidR="006707B5">
              <w:rPr>
                <w:noProof/>
                <w:webHidden/>
              </w:rPr>
              <w:fldChar w:fldCharType="begin"/>
            </w:r>
            <w:r w:rsidR="006707B5">
              <w:rPr>
                <w:noProof/>
                <w:webHidden/>
              </w:rPr>
              <w:instrText xml:space="preserve"> PAGEREF _Toc171589694 \h </w:instrText>
            </w:r>
            <w:r w:rsidR="006707B5">
              <w:rPr>
                <w:noProof/>
                <w:webHidden/>
              </w:rPr>
            </w:r>
            <w:r w:rsidR="006707B5">
              <w:rPr>
                <w:noProof/>
                <w:webHidden/>
              </w:rPr>
              <w:fldChar w:fldCharType="separate"/>
            </w:r>
            <w:r w:rsidR="00FD6435">
              <w:rPr>
                <w:noProof/>
                <w:webHidden/>
              </w:rPr>
              <w:t>3</w:t>
            </w:r>
            <w:r w:rsidR="006707B5">
              <w:rPr>
                <w:noProof/>
                <w:webHidden/>
              </w:rPr>
              <w:fldChar w:fldCharType="end"/>
            </w:r>
          </w:hyperlink>
        </w:p>
        <w:p w14:paraId="48A919FA" w14:textId="371FF631"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5" w:history="1">
            <w:r w:rsidR="006707B5" w:rsidRPr="001B57E9">
              <w:rPr>
                <w:rStyle w:val="Lienhypertexte"/>
                <w:noProof/>
              </w:rPr>
              <w:t>Engagement de l’adjudicataire</w:t>
            </w:r>
            <w:r w:rsidR="006707B5">
              <w:rPr>
                <w:noProof/>
                <w:webHidden/>
              </w:rPr>
              <w:tab/>
            </w:r>
            <w:r w:rsidR="006707B5">
              <w:rPr>
                <w:noProof/>
                <w:webHidden/>
              </w:rPr>
              <w:fldChar w:fldCharType="begin"/>
            </w:r>
            <w:r w:rsidR="006707B5">
              <w:rPr>
                <w:noProof/>
                <w:webHidden/>
              </w:rPr>
              <w:instrText xml:space="preserve"> PAGEREF _Toc171589695 \h </w:instrText>
            </w:r>
            <w:r w:rsidR="006707B5">
              <w:rPr>
                <w:noProof/>
                <w:webHidden/>
              </w:rPr>
            </w:r>
            <w:r w:rsidR="006707B5">
              <w:rPr>
                <w:noProof/>
                <w:webHidden/>
              </w:rPr>
              <w:fldChar w:fldCharType="separate"/>
            </w:r>
            <w:r w:rsidR="00FD6435">
              <w:rPr>
                <w:noProof/>
                <w:webHidden/>
              </w:rPr>
              <w:t>3</w:t>
            </w:r>
            <w:r w:rsidR="006707B5">
              <w:rPr>
                <w:noProof/>
                <w:webHidden/>
              </w:rPr>
              <w:fldChar w:fldCharType="end"/>
            </w:r>
          </w:hyperlink>
        </w:p>
        <w:p w14:paraId="1A566CC8" w14:textId="5CE747B2"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6" w:history="1">
            <w:r w:rsidR="006707B5" w:rsidRPr="001B57E9">
              <w:rPr>
                <w:rStyle w:val="Lienhypertexte"/>
                <w:noProof/>
              </w:rPr>
              <w:t>Passage IF</w:t>
            </w:r>
            <w:r w:rsidR="006707B5">
              <w:rPr>
                <w:noProof/>
                <w:webHidden/>
              </w:rPr>
              <w:tab/>
            </w:r>
            <w:r w:rsidR="006707B5">
              <w:rPr>
                <w:noProof/>
                <w:webHidden/>
              </w:rPr>
              <w:fldChar w:fldCharType="begin"/>
            </w:r>
            <w:r w:rsidR="006707B5">
              <w:rPr>
                <w:noProof/>
                <w:webHidden/>
              </w:rPr>
              <w:instrText xml:space="preserve"> PAGEREF _Toc171589696 \h </w:instrText>
            </w:r>
            <w:r w:rsidR="006707B5">
              <w:rPr>
                <w:noProof/>
                <w:webHidden/>
              </w:rPr>
            </w:r>
            <w:r w:rsidR="006707B5">
              <w:rPr>
                <w:noProof/>
                <w:webHidden/>
              </w:rPr>
              <w:fldChar w:fldCharType="separate"/>
            </w:r>
            <w:r w:rsidR="00FD6435">
              <w:rPr>
                <w:noProof/>
                <w:webHidden/>
              </w:rPr>
              <w:t>4</w:t>
            </w:r>
            <w:r w:rsidR="006707B5">
              <w:rPr>
                <w:noProof/>
                <w:webHidden/>
              </w:rPr>
              <w:fldChar w:fldCharType="end"/>
            </w:r>
          </w:hyperlink>
        </w:p>
        <w:p w14:paraId="0097E9C9" w14:textId="01C043C3" w:rsidR="006707B5" w:rsidRDefault="00000000">
          <w:pPr>
            <w:pStyle w:val="TM1"/>
            <w:tabs>
              <w:tab w:val="right" w:leader="dot" w:pos="9736"/>
            </w:tabs>
            <w:rPr>
              <w:rFonts w:asciiTheme="minorHAnsi" w:eastAsiaTheme="minorEastAsia" w:hAnsiTheme="minorHAnsi"/>
              <w:noProof/>
              <w:kern w:val="2"/>
              <w:sz w:val="22"/>
              <w:szCs w:val="22"/>
              <w:lang w:eastAsia="fr-BE"/>
              <w14:ligatures w14:val="standardContextual"/>
            </w:rPr>
          </w:pPr>
          <w:hyperlink w:anchor="_Toc171589697" w:history="1">
            <w:r w:rsidR="006707B5" w:rsidRPr="001B57E9">
              <w:rPr>
                <w:rStyle w:val="Lienhypertexte"/>
                <w:noProof/>
                <w:bdr w:val="none" w:sz="0" w:space="0" w:color="auto" w:frame="1"/>
              </w:rPr>
              <w:t>Délégations de pouvoir</w:t>
            </w:r>
            <w:r w:rsidR="006707B5">
              <w:rPr>
                <w:noProof/>
                <w:webHidden/>
              </w:rPr>
              <w:tab/>
            </w:r>
            <w:r w:rsidR="006707B5">
              <w:rPr>
                <w:noProof/>
                <w:webHidden/>
              </w:rPr>
              <w:fldChar w:fldCharType="begin"/>
            </w:r>
            <w:r w:rsidR="006707B5">
              <w:rPr>
                <w:noProof/>
                <w:webHidden/>
              </w:rPr>
              <w:instrText xml:space="preserve"> PAGEREF _Toc171589697 \h </w:instrText>
            </w:r>
            <w:r w:rsidR="006707B5">
              <w:rPr>
                <w:noProof/>
                <w:webHidden/>
              </w:rPr>
            </w:r>
            <w:r w:rsidR="006707B5">
              <w:rPr>
                <w:noProof/>
                <w:webHidden/>
              </w:rPr>
              <w:fldChar w:fldCharType="separate"/>
            </w:r>
            <w:r w:rsidR="00FD6435">
              <w:rPr>
                <w:noProof/>
                <w:webHidden/>
              </w:rPr>
              <w:t>4</w:t>
            </w:r>
            <w:r w:rsidR="006707B5">
              <w:rPr>
                <w:noProof/>
                <w:webHidden/>
              </w:rPr>
              <w:fldChar w:fldCharType="end"/>
            </w:r>
          </w:hyperlink>
        </w:p>
        <w:p w14:paraId="38D2DE83" w14:textId="5EF06F2D" w:rsidR="009A2CC1" w:rsidRDefault="00EE2F0C">
          <w:r>
            <w:fldChar w:fldCharType="end"/>
          </w:r>
        </w:p>
      </w:sdtContent>
    </w:sdt>
    <w:p w14:paraId="7F4363C9" w14:textId="77777777" w:rsidR="007D03D5" w:rsidRDefault="007D03D5" w:rsidP="00D06DF3"/>
    <w:p w14:paraId="4FF6CD41" w14:textId="77777777" w:rsidR="00DD1AFA" w:rsidRDefault="00DD1AFA" w:rsidP="00D06DF3"/>
    <w:p w14:paraId="3EA91AA1" w14:textId="77777777" w:rsidR="00DD1AFA" w:rsidRDefault="00DD1AFA" w:rsidP="00D06DF3"/>
    <w:p w14:paraId="67AF6C43" w14:textId="77777777" w:rsidR="00DD1AFA" w:rsidRDefault="00DD1AFA" w:rsidP="00D06DF3"/>
    <w:p w14:paraId="5860CE9F" w14:textId="77777777" w:rsidR="00DD1AFA" w:rsidRDefault="00DD1AFA" w:rsidP="00D06DF3"/>
    <w:p w14:paraId="7A5B98A9" w14:textId="77777777" w:rsidR="00DD1AFA" w:rsidRDefault="00DD1AFA" w:rsidP="00D06DF3"/>
    <w:p w14:paraId="423C360D" w14:textId="77777777" w:rsidR="00DD1AFA" w:rsidRDefault="00DD1AFA" w:rsidP="00D06DF3"/>
    <w:p w14:paraId="62A0F474" w14:textId="77777777" w:rsidR="00DD1AFA" w:rsidRDefault="00DD1AFA" w:rsidP="00D06DF3"/>
    <w:p w14:paraId="46DD1F08" w14:textId="77777777" w:rsidR="00DD1AFA" w:rsidRDefault="00DD1AFA" w:rsidP="00D06DF3"/>
    <w:p w14:paraId="083BD332" w14:textId="77777777" w:rsidR="00DD1AFA" w:rsidRDefault="00DD1AFA" w:rsidP="00D06DF3"/>
    <w:p w14:paraId="7CF45A9B" w14:textId="77777777" w:rsidR="00DD1AFA" w:rsidRDefault="00DD1AFA" w:rsidP="00D06DF3"/>
    <w:p w14:paraId="7C9A58B8" w14:textId="77777777" w:rsidR="00DD1AFA" w:rsidRDefault="00DD1AFA" w:rsidP="00D06DF3"/>
    <w:p w14:paraId="6C275B50" w14:textId="77777777" w:rsidR="00DD1AFA" w:rsidRDefault="00DD1AFA" w:rsidP="00D06DF3"/>
    <w:p w14:paraId="033F2786" w14:textId="77777777" w:rsidR="00DD1AFA" w:rsidRDefault="00DD1AFA" w:rsidP="00D06DF3"/>
    <w:p w14:paraId="1B5F1C70" w14:textId="77777777" w:rsidR="00DD1AFA" w:rsidRDefault="00DD1AFA" w:rsidP="00D06DF3"/>
    <w:p w14:paraId="4964AB50" w14:textId="77777777" w:rsidR="00DD1AFA" w:rsidRDefault="00DD1AFA" w:rsidP="00D06DF3"/>
    <w:p w14:paraId="295C7AF0" w14:textId="77777777" w:rsidR="00DD1AFA" w:rsidRDefault="00DD1AFA" w:rsidP="00D06DF3"/>
    <w:p w14:paraId="7E1670E3" w14:textId="77777777" w:rsidR="00DD1AFA" w:rsidRDefault="00DD1AFA" w:rsidP="00D06DF3"/>
    <w:p w14:paraId="15FE576C" w14:textId="77777777" w:rsidR="00DD1AFA" w:rsidRDefault="00DD1AFA" w:rsidP="00D06DF3"/>
    <w:p w14:paraId="34C30266" w14:textId="77777777" w:rsidR="00DD1AFA" w:rsidRDefault="00DD1AFA" w:rsidP="00D06DF3"/>
    <w:p w14:paraId="03917FCF" w14:textId="77777777" w:rsidR="00DD1AFA" w:rsidRDefault="00DD1AFA" w:rsidP="00D06DF3"/>
    <w:p w14:paraId="3BBE9E82" w14:textId="77777777" w:rsidR="00DD1AFA" w:rsidRDefault="00DD1AFA" w:rsidP="00D06DF3"/>
    <w:tbl>
      <w:tblPr>
        <w:tblStyle w:val="Grilledutableau"/>
        <w:tblW w:w="10768" w:type="dxa"/>
        <w:jc w:val="center"/>
        <w:tblCellMar>
          <w:top w:w="57" w:type="dxa"/>
          <w:bottom w:w="57" w:type="dxa"/>
        </w:tblCellMar>
        <w:tblLook w:val="04A0" w:firstRow="1" w:lastRow="0" w:firstColumn="1" w:lastColumn="0" w:noHBand="0" w:noVBand="1"/>
      </w:tblPr>
      <w:tblGrid>
        <w:gridCol w:w="2122"/>
        <w:gridCol w:w="4019"/>
        <w:gridCol w:w="4627"/>
      </w:tblGrid>
      <w:tr w:rsidR="00C51553" w:rsidRPr="00F32C78" w14:paraId="6F29580D" w14:textId="77777777" w:rsidTr="00420A56">
        <w:trPr>
          <w:tblHeader/>
          <w:jc w:val="center"/>
        </w:trPr>
        <w:tc>
          <w:tcPr>
            <w:tcW w:w="2122" w:type="dxa"/>
            <w:shd w:val="clear" w:color="auto" w:fill="8496B0" w:themeFill="text2" w:themeFillTint="99"/>
          </w:tcPr>
          <w:p w14:paraId="71A35C47" w14:textId="77777777" w:rsidR="00C51553" w:rsidRPr="00F32C78" w:rsidRDefault="00C51553" w:rsidP="00152D40">
            <w:pPr>
              <w:jc w:val="left"/>
              <w:rPr>
                <w:sz w:val="20"/>
                <w:szCs w:val="20"/>
              </w:rPr>
            </w:pPr>
          </w:p>
          <w:p w14:paraId="2317F5D9" w14:textId="77777777" w:rsidR="00C51553" w:rsidRPr="00F32C78" w:rsidRDefault="00C51553" w:rsidP="00152D40">
            <w:pPr>
              <w:jc w:val="left"/>
              <w:rPr>
                <w:sz w:val="20"/>
                <w:szCs w:val="20"/>
              </w:rPr>
            </w:pPr>
          </w:p>
        </w:tc>
        <w:tc>
          <w:tcPr>
            <w:tcW w:w="4019" w:type="dxa"/>
            <w:shd w:val="clear" w:color="auto" w:fill="8496B0" w:themeFill="text2" w:themeFillTint="99"/>
          </w:tcPr>
          <w:p w14:paraId="693F4897" w14:textId="77777777" w:rsidR="00C51553" w:rsidRPr="00F32C78" w:rsidRDefault="00C51553" w:rsidP="00420A56">
            <w:pPr>
              <w:jc w:val="center"/>
              <w:rPr>
                <w:rFonts w:eastAsia="Times New Roman" w:cstheme="minorHAnsi"/>
                <w:b/>
                <w:bCs/>
                <w:color w:val="FFFFFF"/>
                <w:sz w:val="20"/>
                <w:szCs w:val="20"/>
                <w:bdr w:val="none" w:sz="0" w:space="0" w:color="auto" w:frame="1"/>
                <w:lang w:eastAsia="fr-BE"/>
              </w:rPr>
            </w:pPr>
          </w:p>
          <w:p w14:paraId="3BD0C2FD" w14:textId="77777777" w:rsidR="00C51553" w:rsidRPr="005B08D6" w:rsidRDefault="00C51553" w:rsidP="00420A56">
            <w:pPr>
              <w:jc w:val="center"/>
              <w:rPr>
                <w:rFonts w:eastAsia="Times New Roman" w:cs="Calibri"/>
                <w:b/>
                <w:bCs/>
                <w:color w:val="FFFFFF"/>
                <w:sz w:val="24"/>
                <w:szCs w:val="24"/>
                <w:bdr w:val="none" w:sz="0" w:space="0" w:color="auto" w:frame="1"/>
                <w:lang w:eastAsia="fr-BE"/>
              </w:rPr>
            </w:pPr>
            <w:r w:rsidRPr="005B08D6">
              <w:rPr>
                <w:rFonts w:eastAsia="Times New Roman" w:cs="Calibri"/>
                <w:b/>
                <w:bCs/>
                <w:color w:val="FFFFFF"/>
                <w:sz w:val="24"/>
                <w:szCs w:val="24"/>
                <w:bdr w:val="none" w:sz="0" w:space="0" w:color="auto" w:frame="1"/>
                <w:lang w:eastAsia="fr-BE"/>
              </w:rPr>
              <w:t>Reconduction</w:t>
            </w:r>
          </w:p>
          <w:p w14:paraId="52D54098" w14:textId="77777777" w:rsidR="00C51553" w:rsidRPr="00F32C78" w:rsidRDefault="00C51553" w:rsidP="00420A56">
            <w:pPr>
              <w:jc w:val="center"/>
              <w:rPr>
                <w:sz w:val="20"/>
                <w:szCs w:val="20"/>
              </w:rPr>
            </w:pPr>
          </w:p>
        </w:tc>
        <w:tc>
          <w:tcPr>
            <w:tcW w:w="4627" w:type="dxa"/>
            <w:shd w:val="clear" w:color="auto" w:fill="8496B0" w:themeFill="text2" w:themeFillTint="99"/>
          </w:tcPr>
          <w:p w14:paraId="5A1BFB82" w14:textId="77777777" w:rsidR="00C51553" w:rsidRPr="00F32C78" w:rsidRDefault="00C51553" w:rsidP="00420A56">
            <w:pPr>
              <w:jc w:val="center"/>
              <w:rPr>
                <w:rFonts w:eastAsia="Times New Roman" w:cs="Calibri"/>
                <w:b/>
                <w:bCs/>
                <w:color w:val="FFFFFF"/>
                <w:sz w:val="24"/>
                <w:szCs w:val="24"/>
                <w:bdr w:val="none" w:sz="0" w:space="0" w:color="auto" w:frame="1"/>
                <w:lang w:eastAsia="fr-BE"/>
              </w:rPr>
            </w:pPr>
          </w:p>
          <w:p w14:paraId="7E8C8077" w14:textId="77777777" w:rsidR="00C51553" w:rsidRPr="00F32C78" w:rsidRDefault="00C51553" w:rsidP="00420A56">
            <w:pPr>
              <w:jc w:val="center"/>
              <w:rPr>
                <w:sz w:val="24"/>
                <w:szCs w:val="24"/>
              </w:rPr>
            </w:pPr>
            <w:r w:rsidRPr="00F32C78">
              <w:rPr>
                <w:rFonts w:eastAsia="Times New Roman" w:cs="Calibri"/>
                <w:b/>
                <w:bCs/>
                <w:color w:val="FFFFFF"/>
                <w:sz w:val="24"/>
                <w:szCs w:val="24"/>
                <w:bdr w:val="none" w:sz="0" w:space="0" w:color="auto" w:frame="1"/>
                <w:lang w:eastAsia="fr-BE"/>
              </w:rPr>
              <w:t>Répétition</w:t>
            </w:r>
          </w:p>
        </w:tc>
      </w:tr>
      <w:tr w:rsidR="00C51553" w:rsidRPr="00F32C78" w14:paraId="5858B56E" w14:textId="77777777" w:rsidTr="00420A56">
        <w:trPr>
          <w:jc w:val="center"/>
        </w:trPr>
        <w:tc>
          <w:tcPr>
            <w:tcW w:w="2122" w:type="dxa"/>
            <w:shd w:val="clear" w:color="auto" w:fill="8496B0" w:themeFill="text2" w:themeFillTint="99"/>
          </w:tcPr>
          <w:p w14:paraId="2023F09F" w14:textId="77777777" w:rsidR="00C51553" w:rsidRPr="00420A56" w:rsidRDefault="00C51553" w:rsidP="00152D40">
            <w:pPr>
              <w:pStyle w:val="Titre1"/>
              <w:jc w:val="left"/>
              <w:rPr>
                <w:rFonts w:ascii="Century Gothic" w:hAnsi="Century Gothic"/>
                <w:sz w:val="24"/>
                <w:szCs w:val="24"/>
              </w:rPr>
            </w:pPr>
            <w:bookmarkStart w:id="1" w:name="_Toc171589690"/>
            <w:r w:rsidRPr="00420A56">
              <w:rPr>
                <w:rFonts w:ascii="Century Gothic" w:hAnsi="Century Gothic"/>
                <w:sz w:val="24"/>
                <w:szCs w:val="24"/>
              </w:rPr>
              <w:t>Notions</w:t>
            </w:r>
            <w:bookmarkEnd w:id="1"/>
          </w:p>
          <w:p w14:paraId="1DD2CE05" w14:textId="77777777" w:rsidR="00C51553" w:rsidRPr="00420A56" w:rsidRDefault="00C51553" w:rsidP="00152D40">
            <w:pPr>
              <w:jc w:val="left"/>
              <w:rPr>
                <w:sz w:val="24"/>
                <w:szCs w:val="24"/>
              </w:rPr>
            </w:pPr>
          </w:p>
        </w:tc>
        <w:tc>
          <w:tcPr>
            <w:tcW w:w="4019" w:type="dxa"/>
            <w:shd w:val="clear" w:color="auto" w:fill="B4C6E7" w:themeFill="accent1" w:themeFillTint="66"/>
          </w:tcPr>
          <w:p w14:paraId="3B364984" w14:textId="77777777" w:rsidR="00C51553" w:rsidRPr="00F32C78" w:rsidRDefault="00C51553" w:rsidP="00420A56">
            <w:pPr>
              <w:jc w:val="left"/>
              <w:rPr>
                <w:rFonts w:eastAsia="Times New Roman" w:cs="Calibri"/>
                <w:sz w:val="20"/>
                <w:szCs w:val="20"/>
                <w:lang w:eastAsia="fr-BE"/>
              </w:rPr>
            </w:pPr>
            <w:r w:rsidRPr="00F32C78">
              <w:rPr>
                <w:rFonts w:eastAsia="Times New Roman" w:cs="Calibri"/>
                <w:sz w:val="20"/>
                <w:szCs w:val="20"/>
                <w:lang w:eastAsia="fr-BE"/>
              </w:rPr>
              <w:t>La reconduction est un mécanisme permettant de renouveler un marché sur base des mêmes caractéristiques (continuité du même marché). Ce mécanisme doit respecter certaines conditions.</w:t>
            </w:r>
          </w:p>
        </w:tc>
        <w:tc>
          <w:tcPr>
            <w:tcW w:w="4627" w:type="dxa"/>
            <w:shd w:val="clear" w:color="auto" w:fill="B4C6E7" w:themeFill="accent1" w:themeFillTint="66"/>
          </w:tcPr>
          <w:p w14:paraId="2CAF3388" w14:textId="77777777" w:rsidR="00C51553" w:rsidRPr="00F32C78" w:rsidRDefault="00C51553" w:rsidP="00420A56">
            <w:pPr>
              <w:jc w:val="left"/>
              <w:rPr>
                <w:sz w:val="20"/>
                <w:szCs w:val="20"/>
              </w:rPr>
            </w:pPr>
            <w:r w:rsidRPr="00F32C78">
              <w:rPr>
                <w:rFonts w:eastAsia="Times New Roman" w:cs="Calibri"/>
                <w:sz w:val="20"/>
                <w:szCs w:val="20"/>
                <w:lang w:eastAsia="fr-BE"/>
              </w:rPr>
              <w:t>La répétition est un mécanisme impliquant la passation d’un nouveau marché distinct via une procédure négociée sans publication préalable (PNSPP), moyennant respect de certaines conditions.</w:t>
            </w:r>
          </w:p>
        </w:tc>
      </w:tr>
      <w:tr w:rsidR="00C51553" w:rsidRPr="00F32C78" w14:paraId="7FB15C53" w14:textId="77777777" w:rsidTr="00420A56">
        <w:trPr>
          <w:jc w:val="center"/>
        </w:trPr>
        <w:tc>
          <w:tcPr>
            <w:tcW w:w="2122" w:type="dxa"/>
            <w:shd w:val="clear" w:color="auto" w:fill="8496B0" w:themeFill="text2" w:themeFillTint="99"/>
          </w:tcPr>
          <w:p w14:paraId="39E5D809" w14:textId="2215CAEF" w:rsidR="00C51553" w:rsidRPr="00420A56" w:rsidRDefault="00C51553" w:rsidP="00152D40">
            <w:pPr>
              <w:pStyle w:val="Titre1"/>
              <w:jc w:val="left"/>
              <w:rPr>
                <w:rFonts w:ascii="Century Gothic" w:hAnsi="Century Gothic"/>
                <w:sz w:val="24"/>
                <w:szCs w:val="24"/>
              </w:rPr>
            </w:pPr>
            <w:bookmarkStart w:id="2" w:name="_Toc171589691"/>
            <w:r w:rsidRPr="00420A56">
              <w:rPr>
                <w:rFonts w:ascii="Century Gothic" w:hAnsi="Century Gothic"/>
                <w:sz w:val="24"/>
                <w:szCs w:val="24"/>
              </w:rPr>
              <w:t>Base léga</w:t>
            </w:r>
            <w:r w:rsidR="00152D40" w:rsidRPr="00420A56">
              <w:rPr>
                <w:rFonts w:ascii="Century Gothic" w:hAnsi="Century Gothic"/>
                <w:sz w:val="24"/>
                <w:szCs w:val="24"/>
              </w:rPr>
              <w:t>l</w:t>
            </w:r>
            <w:r w:rsidRPr="00420A56">
              <w:rPr>
                <w:rFonts w:ascii="Century Gothic" w:hAnsi="Century Gothic"/>
                <w:sz w:val="24"/>
                <w:szCs w:val="24"/>
              </w:rPr>
              <w:t>e</w:t>
            </w:r>
            <w:bookmarkEnd w:id="2"/>
          </w:p>
        </w:tc>
        <w:tc>
          <w:tcPr>
            <w:tcW w:w="4019" w:type="dxa"/>
            <w:shd w:val="clear" w:color="auto" w:fill="B4C6E7" w:themeFill="accent1" w:themeFillTint="66"/>
          </w:tcPr>
          <w:p w14:paraId="419DAC28" w14:textId="77777777" w:rsidR="00C51553" w:rsidRPr="00F32C78" w:rsidRDefault="00C51553" w:rsidP="00420A56">
            <w:pPr>
              <w:jc w:val="left"/>
              <w:rPr>
                <w:sz w:val="20"/>
                <w:szCs w:val="20"/>
              </w:rPr>
            </w:pPr>
            <w:r w:rsidRPr="00F32C78">
              <w:rPr>
                <w:rFonts w:eastAsia="Times New Roman" w:cs="Calibri"/>
                <w:sz w:val="20"/>
                <w:szCs w:val="20"/>
                <w:lang w:eastAsia="fr-BE"/>
              </w:rPr>
              <w:t>Article 57 de la loi du 17 juin 2016</w:t>
            </w:r>
          </w:p>
        </w:tc>
        <w:tc>
          <w:tcPr>
            <w:tcW w:w="4627" w:type="dxa"/>
            <w:shd w:val="clear" w:color="auto" w:fill="B4C6E7" w:themeFill="accent1" w:themeFillTint="66"/>
          </w:tcPr>
          <w:p w14:paraId="58E26108" w14:textId="77777777" w:rsidR="00C51553" w:rsidRPr="00F32C78" w:rsidRDefault="00C51553" w:rsidP="00420A56">
            <w:pPr>
              <w:jc w:val="left"/>
              <w:rPr>
                <w:sz w:val="20"/>
                <w:szCs w:val="20"/>
              </w:rPr>
            </w:pPr>
            <w:r w:rsidRPr="00F32C78">
              <w:rPr>
                <w:rFonts w:eastAsia="Times New Roman" w:cs="Calibri"/>
                <w:sz w:val="20"/>
                <w:szCs w:val="20"/>
                <w:lang w:eastAsia="fr-BE"/>
              </w:rPr>
              <w:t>Article 42 §1, 2° de la loi du 17 juin 2016</w:t>
            </w:r>
          </w:p>
        </w:tc>
      </w:tr>
      <w:tr w:rsidR="00C51553" w:rsidRPr="00F32C78" w14:paraId="5393DC2D" w14:textId="77777777" w:rsidTr="00420A56">
        <w:trPr>
          <w:jc w:val="center"/>
        </w:trPr>
        <w:tc>
          <w:tcPr>
            <w:tcW w:w="2122" w:type="dxa"/>
            <w:shd w:val="clear" w:color="auto" w:fill="8496B0" w:themeFill="text2" w:themeFillTint="99"/>
          </w:tcPr>
          <w:p w14:paraId="522FD5FC" w14:textId="77777777" w:rsidR="00C51553" w:rsidRPr="00420A56" w:rsidRDefault="00C51553" w:rsidP="00152D40">
            <w:pPr>
              <w:pStyle w:val="Titre1"/>
              <w:jc w:val="left"/>
              <w:rPr>
                <w:rFonts w:ascii="Century Gothic" w:hAnsi="Century Gothic"/>
                <w:sz w:val="24"/>
                <w:szCs w:val="24"/>
              </w:rPr>
            </w:pPr>
            <w:bookmarkStart w:id="3" w:name="_Toc171589692"/>
            <w:r w:rsidRPr="00420A56">
              <w:rPr>
                <w:rFonts w:ascii="Century Gothic" w:hAnsi="Century Gothic"/>
                <w:sz w:val="24"/>
                <w:szCs w:val="24"/>
              </w:rPr>
              <w:t>Conditions légales</w:t>
            </w:r>
            <w:bookmarkEnd w:id="3"/>
          </w:p>
          <w:p w14:paraId="10310BE0" w14:textId="77777777" w:rsidR="00C51553" w:rsidRPr="00420A56" w:rsidRDefault="00C51553" w:rsidP="00152D40">
            <w:pPr>
              <w:jc w:val="left"/>
              <w:rPr>
                <w:sz w:val="24"/>
                <w:szCs w:val="24"/>
              </w:rPr>
            </w:pPr>
          </w:p>
        </w:tc>
        <w:tc>
          <w:tcPr>
            <w:tcW w:w="4019" w:type="dxa"/>
            <w:shd w:val="clear" w:color="auto" w:fill="B4C6E7" w:themeFill="accent1" w:themeFillTint="66"/>
          </w:tcPr>
          <w:p w14:paraId="44A1565C" w14:textId="77777777" w:rsidR="00C51553" w:rsidRPr="005B08D6" w:rsidRDefault="00C51553" w:rsidP="00420A56">
            <w:pPr>
              <w:jc w:val="left"/>
              <w:rPr>
                <w:rFonts w:eastAsia="Times New Roman" w:cs="Calibri"/>
                <w:sz w:val="20"/>
                <w:szCs w:val="20"/>
                <w:lang w:eastAsia="fr-BE"/>
              </w:rPr>
            </w:pPr>
            <w:r w:rsidRPr="005B08D6">
              <w:rPr>
                <w:rFonts w:eastAsia="Times New Roman" w:cs="Calibri"/>
                <w:sz w:val="20"/>
                <w:szCs w:val="20"/>
                <w:lang w:eastAsia="fr-BE"/>
              </w:rPr>
              <w:t>La reconduction peut être prévue pour tout type de marché ;</w:t>
            </w:r>
          </w:p>
          <w:p w14:paraId="7C7AD3EC" w14:textId="77777777" w:rsidR="00C51553" w:rsidRPr="00F32C78" w:rsidRDefault="00C51553" w:rsidP="00420A56">
            <w:pPr>
              <w:jc w:val="left"/>
              <w:rPr>
                <w:rFonts w:eastAsia="Times New Roman" w:cs="Calibri"/>
                <w:sz w:val="20"/>
                <w:szCs w:val="20"/>
                <w:lang w:eastAsia="fr-BE"/>
              </w:rPr>
            </w:pPr>
          </w:p>
          <w:p w14:paraId="2000EE6E" w14:textId="77777777" w:rsidR="00C51553" w:rsidRPr="00F32C78" w:rsidRDefault="00C51553" w:rsidP="00420A56">
            <w:pPr>
              <w:jc w:val="left"/>
              <w:rPr>
                <w:rFonts w:eastAsia="Times New Roman" w:cs="Calibri"/>
                <w:sz w:val="20"/>
                <w:szCs w:val="20"/>
                <w:lang w:eastAsia="fr-BE"/>
              </w:rPr>
            </w:pPr>
          </w:p>
          <w:p w14:paraId="5EC7B013" w14:textId="77777777" w:rsidR="00C51553" w:rsidRPr="00F32C78" w:rsidRDefault="00C51553" w:rsidP="00420A56">
            <w:pPr>
              <w:jc w:val="left"/>
              <w:rPr>
                <w:rFonts w:eastAsia="Times New Roman" w:cs="Calibri"/>
                <w:sz w:val="20"/>
                <w:szCs w:val="20"/>
                <w:lang w:eastAsia="fr-BE"/>
              </w:rPr>
            </w:pPr>
          </w:p>
          <w:p w14:paraId="2DBAB8FF"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6F57DE48" w14:textId="1D9BF777" w:rsidR="00C51553" w:rsidRPr="005B08D6" w:rsidRDefault="00C51553" w:rsidP="00420A56">
            <w:pPr>
              <w:jc w:val="left"/>
              <w:rPr>
                <w:rFonts w:eastAsia="Times New Roman" w:cs="Calibri"/>
                <w:sz w:val="20"/>
                <w:szCs w:val="20"/>
                <w:lang w:eastAsia="fr-BE"/>
              </w:rPr>
            </w:pPr>
            <w:r w:rsidRPr="005B08D6">
              <w:rPr>
                <w:rFonts w:eastAsia="Times New Roman" w:cs="Calibri"/>
                <w:sz w:val="20"/>
                <w:szCs w:val="20"/>
                <w:lang w:eastAsia="fr-BE"/>
              </w:rPr>
              <w:t>La reconduction peut être prévue quelle que soit la procédure la passation ;</w:t>
            </w:r>
          </w:p>
          <w:p w14:paraId="18F77395"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6819E5AE"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448D3A26"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78FC99E5"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0DA8DB15"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51BF40C9" w14:textId="77777777" w:rsidR="00C51553" w:rsidRPr="00152D40" w:rsidRDefault="00C51553" w:rsidP="00420A56">
            <w:pPr>
              <w:jc w:val="left"/>
              <w:rPr>
                <w:rFonts w:eastAsia="Times New Roman" w:cs="Calibri"/>
                <w:sz w:val="20"/>
                <w:szCs w:val="20"/>
                <w:lang w:eastAsia="fr-BE"/>
              </w:rPr>
            </w:pPr>
          </w:p>
          <w:p w14:paraId="2E94E424" w14:textId="77777777" w:rsidR="00420A56" w:rsidRDefault="00420A56" w:rsidP="00420A56">
            <w:pPr>
              <w:jc w:val="left"/>
              <w:rPr>
                <w:rFonts w:eastAsia="Times New Roman" w:cs="Calibri"/>
                <w:sz w:val="20"/>
                <w:szCs w:val="20"/>
                <w:lang w:eastAsia="fr-BE"/>
              </w:rPr>
            </w:pPr>
          </w:p>
          <w:p w14:paraId="2AD43035" w14:textId="3D7437FE" w:rsidR="00C51553" w:rsidRPr="005B08D6" w:rsidRDefault="00C51553" w:rsidP="00420A56">
            <w:pPr>
              <w:jc w:val="left"/>
              <w:rPr>
                <w:rFonts w:eastAsia="Times New Roman" w:cs="Calibri"/>
                <w:sz w:val="20"/>
                <w:szCs w:val="20"/>
                <w:lang w:eastAsia="fr-BE"/>
              </w:rPr>
            </w:pPr>
            <w:r w:rsidRPr="005B08D6">
              <w:rPr>
                <w:rFonts w:eastAsia="Times New Roman" w:cs="Calibri"/>
                <w:sz w:val="20"/>
                <w:szCs w:val="20"/>
                <w:lang w:eastAsia="fr-BE"/>
              </w:rPr>
              <w:t>La reconduction doit être prévue dans les documents initiaux du marché via une clause claire, précise et univoque ;</w:t>
            </w:r>
          </w:p>
          <w:p w14:paraId="6D393337" w14:textId="77777777" w:rsidR="00C51553" w:rsidRPr="00152D40" w:rsidRDefault="00C51553" w:rsidP="00420A56">
            <w:pPr>
              <w:jc w:val="left"/>
              <w:rPr>
                <w:rFonts w:eastAsia="Times New Roman" w:cs="Calibri"/>
                <w:sz w:val="20"/>
                <w:szCs w:val="20"/>
                <w:lang w:eastAsia="fr-BE"/>
              </w:rPr>
            </w:pPr>
          </w:p>
          <w:p w14:paraId="60700902" w14:textId="3202E9E3" w:rsidR="00C51553" w:rsidRDefault="00C51553" w:rsidP="00420A56">
            <w:pPr>
              <w:spacing w:after="160" w:line="256" w:lineRule="auto"/>
              <w:jc w:val="left"/>
              <w:rPr>
                <w:rFonts w:eastAsia="Times New Roman" w:cs="Calibri"/>
                <w:sz w:val="20"/>
                <w:szCs w:val="20"/>
                <w:lang w:eastAsia="fr-BE"/>
              </w:rPr>
            </w:pPr>
            <w:r w:rsidRPr="005B08D6">
              <w:rPr>
                <w:rFonts w:eastAsia="Times New Roman" w:cs="Calibri"/>
                <w:sz w:val="20"/>
                <w:szCs w:val="20"/>
                <w:lang w:eastAsia="fr-BE"/>
              </w:rPr>
              <w:t>La reconduction ne peut pas modifier la nature globale du marché ;</w:t>
            </w:r>
          </w:p>
          <w:p w14:paraId="315B5945" w14:textId="77777777" w:rsidR="005B08D6" w:rsidRPr="005B08D6" w:rsidRDefault="005B08D6" w:rsidP="00420A56">
            <w:pPr>
              <w:spacing w:after="160" w:line="256" w:lineRule="auto"/>
              <w:jc w:val="left"/>
              <w:rPr>
                <w:rFonts w:eastAsia="Times New Roman" w:cs="Calibri"/>
                <w:sz w:val="20"/>
                <w:szCs w:val="20"/>
                <w:lang w:eastAsia="fr-BE"/>
              </w:rPr>
            </w:pPr>
          </w:p>
          <w:p w14:paraId="45166E6A" w14:textId="77777777" w:rsidR="00C51553" w:rsidRPr="005B08D6" w:rsidRDefault="00C51553" w:rsidP="00420A56">
            <w:pPr>
              <w:jc w:val="left"/>
              <w:rPr>
                <w:rFonts w:eastAsia="Times New Roman" w:cs="Calibri"/>
                <w:sz w:val="20"/>
                <w:szCs w:val="20"/>
                <w:lang w:eastAsia="fr-BE"/>
              </w:rPr>
            </w:pPr>
            <w:r w:rsidRPr="005B08D6">
              <w:rPr>
                <w:rFonts w:eastAsia="Times New Roman" w:cs="Calibri"/>
                <w:sz w:val="20"/>
                <w:szCs w:val="20"/>
                <w:lang w:eastAsia="fr-BE"/>
              </w:rPr>
              <w:t>Le montant total des reconductions envisagées doit être obligatoirement intégré dans l’estimation du marché, conformément à l’article 7 de l’arrêté royal du 18 avril 2017 ;</w:t>
            </w:r>
          </w:p>
          <w:p w14:paraId="0896A670"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167BC692"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55D2DF46" w14:textId="024872B7" w:rsidR="00C51553" w:rsidRPr="005B08D6" w:rsidRDefault="00C51553" w:rsidP="00420A56">
            <w:pPr>
              <w:spacing w:line="256" w:lineRule="auto"/>
              <w:jc w:val="left"/>
              <w:rPr>
                <w:rFonts w:eastAsia="Times New Roman" w:cs="Calibri"/>
                <w:sz w:val="20"/>
                <w:szCs w:val="20"/>
                <w:lang w:eastAsia="fr-BE"/>
              </w:rPr>
            </w:pPr>
            <w:r w:rsidRPr="005B08D6">
              <w:rPr>
                <w:rFonts w:eastAsia="Times New Roman" w:cs="Calibri"/>
                <w:sz w:val="20"/>
                <w:szCs w:val="20"/>
                <w:lang w:eastAsia="fr-BE"/>
              </w:rPr>
              <w:t xml:space="preserve">La durée totale d’un marché, reconductions comprises, est de 4 </w:t>
            </w:r>
            <w:r w:rsidR="005B08D6" w:rsidRPr="005B08D6">
              <w:rPr>
                <w:rFonts w:eastAsia="Times New Roman" w:cs="Calibri"/>
                <w:sz w:val="20"/>
                <w:szCs w:val="20"/>
                <w:lang w:eastAsia="fr-BE"/>
              </w:rPr>
              <w:t>-</w:t>
            </w:r>
            <w:r w:rsidRPr="005B08D6">
              <w:rPr>
                <w:rFonts w:eastAsia="Times New Roman" w:cs="Calibri"/>
                <w:sz w:val="20"/>
                <w:szCs w:val="20"/>
                <w:lang w:eastAsia="fr-BE"/>
              </w:rPr>
              <w:t>ans en règle générale à partir de la conclusion du marché.</w:t>
            </w:r>
          </w:p>
        </w:tc>
        <w:tc>
          <w:tcPr>
            <w:tcW w:w="4627" w:type="dxa"/>
            <w:shd w:val="clear" w:color="auto" w:fill="B4C6E7" w:themeFill="accent1" w:themeFillTint="66"/>
          </w:tcPr>
          <w:p w14:paraId="15CC6A75" w14:textId="77777777" w:rsidR="00C51553" w:rsidRPr="005B08D6" w:rsidRDefault="00C51553" w:rsidP="00420A56">
            <w:pPr>
              <w:jc w:val="left"/>
              <w:rPr>
                <w:rFonts w:eastAsia="Times New Roman" w:cs="Calibri"/>
                <w:sz w:val="20"/>
                <w:szCs w:val="20"/>
                <w:lang w:eastAsia="fr-BE"/>
              </w:rPr>
            </w:pPr>
            <w:r w:rsidRPr="005B08D6">
              <w:rPr>
                <w:rFonts w:eastAsia="Times New Roman" w:cs="Calibri"/>
                <w:sz w:val="20"/>
                <w:szCs w:val="20"/>
                <w:lang w:eastAsia="fr-BE"/>
              </w:rPr>
              <w:t xml:space="preserve">La répétition ne vise que des travaux ou services nouveaux consistant dans la répétition de travaux ou services similaires. Ceux-ci doivent être attribués à l’adjudicataire du marché initial ; </w:t>
            </w:r>
          </w:p>
          <w:p w14:paraId="5E1CBECD" w14:textId="77777777" w:rsidR="00C51553" w:rsidRPr="00F32C78" w:rsidRDefault="00C51553" w:rsidP="00420A56">
            <w:pPr>
              <w:pStyle w:val="Paragraphedeliste"/>
              <w:spacing w:after="0" w:line="240" w:lineRule="auto"/>
              <w:jc w:val="left"/>
              <w:rPr>
                <w:rFonts w:ascii="Century Gothic" w:eastAsia="Times New Roman" w:hAnsi="Century Gothic" w:cs="Calibri"/>
                <w:sz w:val="20"/>
                <w:szCs w:val="20"/>
                <w:lang w:eastAsia="fr-BE"/>
              </w:rPr>
            </w:pPr>
          </w:p>
          <w:p w14:paraId="0FD0B670" w14:textId="77777777" w:rsidR="00C51553" w:rsidRPr="005B08D6" w:rsidRDefault="00C51553" w:rsidP="00420A56">
            <w:pPr>
              <w:spacing w:after="160" w:line="256" w:lineRule="auto"/>
              <w:jc w:val="left"/>
              <w:rPr>
                <w:rFonts w:eastAsia="Times New Roman" w:cs="Calibri"/>
                <w:sz w:val="20"/>
                <w:szCs w:val="20"/>
                <w:lang w:eastAsia="fr-BE"/>
              </w:rPr>
            </w:pPr>
            <w:r w:rsidRPr="005B08D6">
              <w:rPr>
                <w:rFonts w:eastAsia="Times New Roman" w:cs="Calibri"/>
                <w:sz w:val="20"/>
                <w:szCs w:val="20"/>
                <w:lang w:eastAsia="fr-BE"/>
              </w:rPr>
              <w:t>Le marché initial doit avoir été passé par l’une des procédures de passation visée à l’article 35 de la loi : procédure ouverte, procédure restreinte, procédure concurrentielle avec négociation, procédure négociée directe avec publication préalable, dialogue compétitif et partenariat d’innovation ;</w:t>
            </w:r>
          </w:p>
          <w:p w14:paraId="2256A8D7" w14:textId="77777777" w:rsidR="00152D40" w:rsidRPr="00152D40" w:rsidRDefault="00152D40" w:rsidP="00420A56">
            <w:pPr>
              <w:jc w:val="left"/>
              <w:rPr>
                <w:rFonts w:eastAsia="Times New Roman" w:cs="Calibri"/>
                <w:sz w:val="20"/>
                <w:szCs w:val="20"/>
                <w:lang w:eastAsia="fr-BE"/>
              </w:rPr>
            </w:pPr>
          </w:p>
          <w:p w14:paraId="1F517BBC" w14:textId="77777777" w:rsidR="00C51553" w:rsidRPr="005B08D6" w:rsidRDefault="00C51553" w:rsidP="00420A56">
            <w:pPr>
              <w:jc w:val="left"/>
              <w:rPr>
                <w:rFonts w:eastAsia="Times New Roman" w:cs="Calibri"/>
                <w:sz w:val="20"/>
                <w:szCs w:val="20"/>
                <w:lang w:eastAsia="fr-BE"/>
              </w:rPr>
            </w:pPr>
            <w:r w:rsidRPr="005B08D6">
              <w:rPr>
                <w:rFonts w:eastAsia="Times New Roman" w:cs="Calibri"/>
                <w:sz w:val="20"/>
                <w:szCs w:val="20"/>
                <w:lang w:eastAsia="fr-BE"/>
              </w:rPr>
              <w:t>La possibilité de recourir à cette hypothèse de la PNSPP doit être mentionnée dès la mise en concurrence du marché initial ;</w:t>
            </w:r>
          </w:p>
          <w:p w14:paraId="5B18A626" w14:textId="77777777" w:rsidR="00C51553" w:rsidRPr="00152D40" w:rsidRDefault="00C51553" w:rsidP="00420A56">
            <w:pPr>
              <w:jc w:val="left"/>
              <w:rPr>
                <w:rFonts w:eastAsia="Times New Roman" w:cs="Calibri"/>
                <w:sz w:val="20"/>
                <w:szCs w:val="20"/>
                <w:lang w:eastAsia="fr-BE"/>
              </w:rPr>
            </w:pPr>
          </w:p>
          <w:p w14:paraId="53DAADD2" w14:textId="187C6756" w:rsidR="00152D40" w:rsidRDefault="00C51553" w:rsidP="00420A56">
            <w:pPr>
              <w:jc w:val="left"/>
              <w:rPr>
                <w:rFonts w:eastAsia="Times New Roman" w:cs="Calibri"/>
                <w:sz w:val="20"/>
                <w:szCs w:val="20"/>
                <w:lang w:eastAsia="fr-BE"/>
              </w:rPr>
            </w:pPr>
            <w:r w:rsidRPr="005B08D6">
              <w:rPr>
                <w:rFonts w:eastAsia="Times New Roman" w:cs="Calibri"/>
                <w:sz w:val="20"/>
                <w:szCs w:val="20"/>
                <w:lang w:eastAsia="fr-BE"/>
              </w:rPr>
              <w:t>Ces travaux ou services nouveaux doivent être conformes au projet de base ;</w:t>
            </w:r>
          </w:p>
          <w:p w14:paraId="2E5534A4" w14:textId="77777777" w:rsidR="005B08D6" w:rsidRPr="00F32C78" w:rsidRDefault="005B08D6" w:rsidP="00420A56">
            <w:pPr>
              <w:jc w:val="left"/>
              <w:rPr>
                <w:rFonts w:eastAsia="Times New Roman" w:cs="Calibri"/>
                <w:sz w:val="20"/>
                <w:szCs w:val="20"/>
                <w:lang w:eastAsia="fr-BE"/>
              </w:rPr>
            </w:pPr>
          </w:p>
          <w:p w14:paraId="27FF4ADB" w14:textId="77777777" w:rsidR="00C51553" w:rsidRPr="005B08D6" w:rsidRDefault="00C51553" w:rsidP="00420A56">
            <w:pPr>
              <w:spacing w:before="240"/>
              <w:jc w:val="left"/>
              <w:rPr>
                <w:sz w:val="20"/>
                <w:szCs w:val="20"/>
              </w:rPr>
            </w:pPr>
            <w:r w:rsidRPr="005B08D6">
              <w:rPr>
                <w:rFonts w:eastAsia="Times New Roman" w:cs="Calibri"/>
                <w:sz w:val="20"/>
                <w:szCs w:val="20"/>
                <w:lang w:eastAsia="fr-BE"/>
              </w:rPr>
              <w:t>Le montant total des répétitions envisagées doit être obligatoirement intégré dans l’estimation du marché initial, conformément à l’article 7 de l’arrêté royal du 18 avril 2017 ;</w:t>
            </w:r>
          </w:p>
          <w:p w14:paraId="55F7F874" w14:textId="77777777" w:rsidR="00C51553" w:rsidRPr="00152D40" w:rsidRDefault="00C51553" w:rsidP="00420A56">
            <w:pPr>
              <w:jc w:val="left"/>
              <w:rPr>
                <w:sz w:val="20"/>
                <w:szCs w:val="20"/>
              </w:rPr>
            </w:pPr>
          </w:p>
          <w:p w14:paraId="38D504B2" w14:textId="77777777" w:rsidR="00152D40" w:rsidRPr="00152D40" w:rsidRDefault="00152D40" w:rsidP="00420A56">
            <w:pPr>
              <w:jc w:val="left"/>
              <w:rPr>
                <w:sz w:val="20"/>
                <w:szCs w:val="20"/>
              </w:rPr>
            </w:pPr>
          </w:p>
          <w:p w14:paraId="25036703" w14:textId="77777777" w:rsidR="00C51553" w:rsidRPr="00F32C78" w:rsidRDefault="00C51553" w:rsidP="00420A56">
            <w:pPr>
              <w:pStyle w:val="Paragraphedeliste"/>
              <w:spacing w:after="0" w:line="240" w:lineRule="auto"/>
              <w:jc w:val="left"/>
              <w:rPr>
                <w:rFonts w:ascii="Century Gothic" w:hAnsi="Century Gothic"/>
                <w:sz w:val="20"/>
                <w:szCs w:val="20"/>
              </w:rPr>
            </w:pPr>
          </w:p>
          <w:p w14:paraId="0E93B503" w14:textId="77777777" w:rsidR="00C51553" w:rsidRPr="005B08D6" w:rsidRDefault="00C51553" w:rsidP="00420A56">
            <w:pPr>
              <w:jc w:val="left"/>
              <w:rPr>
                <w:sz w:val="20"/>
                <w:szCs w:val="20"/>
              </w:rPr>
            </w:pPr>
            <w:r w:rsidRPr="005B08D6">
              <w:rPr>
                <w:rFonts w:eastAsia="Times New Roman" w:cs="Calibri"/>
                <w:sz w:val="20"/>
                <w:szCs w:val="20"/>
                <w:lang w:eastAsia="fr-BE"/>
              </w:rPr>
              <w:t>La décision d’attribution des marchés répétitifs doit intervenir dans les 3 ans après la conclusion du marché initial.</w:t>
            </w:r>
          </w:p>
        </w:tc>
      </w:tr>
      <w:tr w:rsidR="00C51553" w:rsidRPr="00F32C78" w14:paraId="0C863128" w14:textId="77777777" w:rsidTr="00420A56">
        <w:trPr>
          <w:jc w:val="center"/>
        </w:trPr>
        <w:tc>
          <w:tcPr>
            <w:tcW w:w="2122" w:type="dxa"/>
            <w:shd w:val="clear" w:color="auto" w:fill="8496B0" w:themeFill="text2" w:themeFillTint="99"/>
          </w:tcPr>
          <w:p w14:paraId="6A728B01" w14:textId="77777777" w:rsidR="00C51553" w:rsidRPr="00420A56" w:rsidRDefault="00C51553" w:rsidP="00152D40">
            <w:pPr>
              <w:pStyle w:val="Titre1"/>
              <w:jc w:val="left"/>
              <w:rPr>
                <w:rFonts w:ascii="Century Gothic" w:hAnsi="Century Gothic"/>
                <w:sz w:val="24"/>
                <w:szCs w:val="24"/>
              </w:rPr>
            </w:pPr>
            <w:bookmarkStart w:id="4" w:name="_Toc171589693"/>
            <w:r w:rsidRPr="00420A56">
              <w:rPr>
                <w:rFonts w:ascii="Century Gothic" w:hAnsi="Century Gothic"/>
                <w:sz w:val="24"/>
                <w:szCs w:val="24"/>
              </w:rPr>
              <w:lastRenderedPageBreak/>
              <w:t>Différences entre les mécanismes</w:t>
            </w:r>
            <w:bookmarkEnd w:id="4"/>
          </w:p>
        </w:tc>
        <w:tc>
          <w:tcPr>
            <w:tcW w:w="4019" w:type="dxa"/>
            <w:shd w:val="clear" w:color="auto" w:fill="B4C6E7" w:themeFill="accent1" w:themeFillTint="66"/>
          </w:tcPr>
          <w:p w14:paraId="474B8B57" w14:textId="2CB805F9" w:rsidR="00C51553" w:rsidRPr="005B08D6" w:rsidRDefault="00C51553" w:rsidP="00420A56">
            <w:pPr>
              <w:spacing w:line="256" w:lineRule="auto"/>
              <w:jc w:val="left"/>
              <w:rPr>
                <w:rFonts w:eastAsia="Times New Roman" w:cs="Calibri"/>
                <w:sz w:val="20"/>
                <w:szCs w:val="20"/>
                <w:lang w:eastAsia="fr-BE"/>
              </w:rPr>
            </w:pPr>
            <w:r w:rsidRPr="005B08D6">
              <w:rPr>
                <w:rFonts w:eastAsia="Times New Roman" w:cs="Calibri"/>
                <w:sz w:val="20"/>
                <w:szCs w:val="20"/>
                <w:lang w:eastAsia="fr-BE"/>
              </w:rPr>
              <w:t>Le marché reconduit l’est aux mêmes conditions que le marché initial (continuité du même marché). Il ne s’agit pas d’un nouveau marché distinct.</w:t>
            </w:r>
          </w:p>
          <w:p w14:paraId="0879CB02" w14:textId="77777777" w:rsidR="00420A56" w:rsidRDefault="00420A56" w:rsidP="00420A56">
            <w:pPr>
              <w:spacing w:after="160" w:line="256" w:lineRule="auto"/>
              <w:jc w:val="left"/>
              <w:rPr>
                <w:rFonts w:eastAsia="Times New Roman" w:cs="Calibri"/>
                <w:sz w:val="20"/>
                <w:szCs w:val="20"/>
                <w:lang w:eastAsia="fr-BE"/>
              </w:rPr>
            </w:pPr>
          </w:p>
          <w:p w14:paraId="415FD2FD" w14:textId="57D4597C" w:rsidR="00C51553" w:rsidRPr="00420A56" w:rsidRDefault="00C51553" w:rsidP="00420A56">
            <w:pPr>
              <w:spacing w:line="256" w:lineRule="auto"/>
              <w:jc w:val="left"/>
              <w:rPr>
                <w:rFonts w:eastAsia="Times New Roman" w:cs="Calibri"/>
                <w:sz w:val="20"/>
                <w:szCs w:val="20"/>
                <w:lang w:eastAsia="fr-BE"/>
              </w:rPr>
            </w:pPr>
            <w:r w:rsidRPr="00420A56">
              <w:rPr>
                <w:rFonts w:eastAsia="Times New Roman" w:cs="Calibri"/>
                <w:sz w:val="20"/>
                <w:szCs w:val="20"/>
                <w:lang w:eastAsia="fr-BE"/>
              </w:rPr>
              <w:t>La reconduction ne permet pas d’apporter des adaptations aux conditions techniques ou juridiques du marché ni de rediscuter les prix,</w:t>
            </w:r>
            <w:r w:rsidRPr="00420A56">
              <w:rPr>
                <w:sz w:val="20"/>
                <w:szCs w:val="20"/>
              </w:rPr>
              <w:t xml:space="preserve"> s</w:t>
            </w:r>
            <w:r w:rsidRPr="00420A56">
              <w:rPr>
                <w:rFonts w:eastAsia="Times New Roman" w:cs="Calibri"/>
                <w:sz w:val="20"/>
                <w:szCs w:val="20"/>
                <w:lang w:eastAsia="fr-BE"/>
              </w:rPr>
              <w:t>ous réserve de l’application d’une éventuelle clause de réexamen, par exemple une clause de révision des prix.</w:t>
            </w:r>
          </w:p>
        </w:tc>
        <w:tc>
          <w:tcPr>
            <w:tcW w:w="4627" w:type="dxa"/>
            <w:shd w:val="clear" w:color="auto" w:fill="B4C6E7" w:themeFill="accent1" w:themeFillTint="66"/>
          </w:tcPr>
          <w:p w14:paraId="142E1878" w14:textId="09EE2355" w:rsidR="00C51553" w:rsidRPr="005B08D6" w:rsidRDefault="00C51553" w:rsidP="00420A56">
            <w:pPr>
              <w:spacing w:line="253" w:lineRule="atLeast"/>
              <w:jc w:val="left"/>
              <w:rPr>
                <w:rFonts w:eastAsia="Times New Roman" w:cs="Calibri"/>
                <w:sz w:val="20"/>
                <w:szCs w:val="20"/>
                <w:lang w:eastAsia="fr-BE"/>
              </w:rPr>
            </w:pPr>
            <w:r w:rsidRPr="005B08D6">
              <w:rPr>
                <w:rFonts w:eastAsia="Times New Roman" w:cs="Calibri"/>
                <w:sz w:val="20"/>
                <w:szCs w:val="20"/>
                <w:lang w:eastAsia="fr-BE"/>
              </w:rPr>
              <w:t>Il s’agit de passer un nouveau marché distinct par procédure négociée sans publication préalable.</w:t>
            </w:r>
          </w:p>
          <w:p w14:paraId="476D5DEE" w14:textId="77777777" w:rsidR="00C51553" w:rsidRPr="00F32C78" w:rsidRDefault="00C51553" w:rsidP="00420A56">
            <w:pPr>
              <w:pStyle w:val="Paragraphedeliste"/>
              <w:spacing w:line="253" w:lineRule="atLeast"/>
              <w:jc w:val="left"/>
              <w:rPr>
                <w:rFonts w:ascii="Century Gothic" w:eastAsia="Times New Roman" w:hAnsi="Century Gothic" w:cs="Calibri"/>
                <w:sz w:val="20"/>
                <w:szCs w:val="20"/>
                <w:lang w:eastAsia="fr-BE"/>
              </w:rPr>
            </w:pPr>
          </w:p>
          <w:p w14:paraId="62B24D58" w14:textId="77777777" w:rsidR="00C51553" w:rsidRDefault="00C51553" w:rsidP="00420A56">
            <w:pPr>
              <w:spacing w:line="253" w:lineRule="atLeast"/>
              <w:jc w:val="left"/>
              <w:rPr>
                <w:rFonts w:eastAsia="Times New Roman" w:cs="Calibri"/>
                <w:sz w:val="20"/>
                <w:szCs w:val="20"/>
                <w:lang w:eastAsia="fr-BE"/>
              </w:rPr>
            </w:pPr>
          </w:p>
          <w:p w14:paraId="5FB89F0F" w14:textId="77777777" w:rsidR="00420A56" w:rsidRPr="00420A56" w:rsidRDefault="00420A56" w:rsidP="00420A56">
            <w:pPr>
              <w:spacing w:line="253" w:lineRule="atLeast"/>
              <w:jc w:val="left"/>
              <w:rPr>
                <w:rFonts w:eastAsia="Times New Roman" w:cs="Calibri"/>
                <w:sz w:val="20"/>
                <w:szCs w:val="20"/>
                <w:lang w:eastAsia="fr-BE"/>
              </w:rPr>
            </w:pPr>
          </w:p>
          <w:p w14:paraId="6D4E1636" w14:textId="77777777" w:rsidR="00C51553" w:rsidRPr="00420A56" w:rsidRDefault="00C51553" w:rsidP="00420A56">
            <w:pPr>
              <w:spacing w:line="253" w:lineRule="atLeast"/>
              <w:jc w:val="left"/>
              <w:rPr>
                <w:rFonts w:eastAsia="Times New Roman" w:cs="Calibri"/>
                <w:sz w:val="20"/>
                <w:szCs w:val="20"/>
                <w:lang w:eastAsia="fr-BE"/>
              </w:rPr>
            </w:pPr>
            <w:r w:rsidRPr="00420A56">
              <w:rPr>
                <w:rFonts w:eastAsia="Times New Roman" w:cs="Calibri"/>
                <w:sz w:val="20"/>
                <w:szCs w:val="20"/>
                <w:lang w:eastAsia="fr-BE"/>
              </w:rPr>
              <w:t>Les conditions techniques ou juridiques du marché répétitif, ainsi que les prix, pourront différer de ceux fixés lors du marché initial, après avoir fait le cas échéant l'objet d’une négociation entre le pouvoir adjudicateur et l'adjudicataire.</w:t>
            </w:r>
          </w:p>
          <w:p w14:paraId="67B70F60" w14:textId="77777777" w:rsidR="00C51553" w:rsidRPr="00F32C78" w:rsidRDefault="00C51553" w:rsidP="00420A56">
            <w:pPr>
              <w:pStyle w:val="Paragraphedeliste"/>
              <w:spacing w:line="253" w:lineRule="atLeast"/>
              <w:jc w:val="left"/>
              <w:rPr>
                <w:rFonts w:ascii="Century Gothic" w:eastAsia="Times New Roman" w:hAnsi="Century Gothic" w:cs="Calibri"/>
                <w:sz w:val="20"/>
                <w:szCs w:val="20"/>
                <w:lang w:eastAsia="fr-BE"/>
              </w:rPr>
            </w:pPr>
          </w:p>
          <w:p w14:paraId="74D5B628" w14:textId="77777777" w:rsidR="00C51553" w:rsidRPr="00F32C78" w:rsidRDefault="00C51553" w:rsidP="00420A56">
            <w:pPr>
              <w:pStyle w:val="Paragraphedeliste"/>
              <w:spacing w:line="253" w:lineRule="atLeast"/>
              <w:jc w:val="left"/>
              <w:rPr>
                <w:rFonts w:ascii="Century Gothic" w:eastAsia="Times New Roman" w:hAnsi="Century Gothic" w:cs="Calibri"/>
                <w:sz w:val="20"/>
                <w:szCs w:val="20"/>
                <w:lang w:eastAsia="fr-BE"/>
              </w:rPr>
            </w:pPr>
          </w:p>
          <w:p w14:paraId="45BA0608" w14:textId="77777777" w:rsidR="00C51553" w:rsidRPr="00F32C78" w:rsidRDefault="00C51553" w:rsidP="00420A56">
            <w:pPr>
              <w:jc w:val="left"/>
              <w:rPr>
                <w:sz w:val="20"/>
                <w:szCs w:val="20"/>
              </w:rPr>
            </w:pPr>
          </w:p>
        </w:tc>
      </w:tr>
      <w:tr w:rsidR="00C51553" w:rsidRPr="00F32C78" w14:paraId="2D192F16" w14:textId="77777777" w:rsidTr="00420A56">
        <w:trPr>
          <w:jc w:val="center"/>
        </w:trPr>
        <w:tc>
          <w:tcPr>
            <w:tcW w:w="2122" w:type="dxa"/>
            <w:shd w:val="clear" w:color="auto" w:fill="8496B0" w:themeFill="text2" w:themeFillTint="99"/>
          </w:tcPr>
          <w:p w14:paraId="1318939E" w14:textId="77777777" w:rsidR="00C51553" w:rsidRPr="00420A56" w:rsidRDefault="00C51553" w:rsidP="00152D40">
            <w:pPr>
              <w:pStyle w:val="Titre1"/>
              <w:jc w:val="left"/>
              <w:rPr>
                <w:rFonts w:ascii="Century Gothic" w:hAnsi="Century Gothic"/>
                <w:sz w:val="24"/>
                <w:szCs w:val="24"/>
              </w:rPr>
            </w:pPr>
            <w:bookmarkStart w:id="5" w:name="_Toc171589694"/>
            <w:r w:rsidRPr="00420A56">
              <w:rPr>
                <w:rFonts w:ascii="Century Gothic" w:hAnsi="Century Gothic"/>
                <w:sz w:val="24"/>
                <w:szCs w:val="24"/>
              </w:rPr>
              <w:t>Point commun entre les mécanismes (uniquement en cas de mécanisme de reconduction expresse)</w:t>
            </w:r>
            <w:bookmarkEnd w:id="5"/>
          </w:p>
        </w:tc>
        <w:tc>
          <w:tcPr>
            <w:tcW w:w="4019" w:type="dxa"/>
            <w:shd w:val="clear" w:color="auto" w:fill="B4C6E7" w:themeFill="accent1" w:themeFillTint="66"/>
          </w:tcPr>
          <w:p w14:paraId="2BF67F61" w14:textId="3E895A79" w:rsidR="00C51553" w:rsidRPr="00420A56" w:rsidRDefault="00C51553" w:rsidP="00420A56">
            <w:pPr>
              <w:spacing w:after="160" w:line="256" w:lineRule="auto"/>
              <w:jc w:val="left"/>
              <w:rPr>
                <w:rFonts w:eastAsia="Times New Roman" w:cs="Calibri"/>
                <w:sz w:val="20"/>
                <w:szCs w:val="20"/>
                <w:lang w:eastAsia="fr-BE"/>
              </w:rPr>
            </w:pPr>
            <w:r w:rsidRPr="00420A56">
              <w:rPr>
                <w:rFonts w:eastAsia="Times New Roman" w:cs="Calibri"/>
                <w:sz w:val="20"/>
                <w:szCs w:val="20"/>
                <w:lang w:eastAsia="fr-BE"/>
              </w:rPr>
              <w:t>Son application par le pouvoir adjudicateur reste une faculté. La décision de non-reconduction doit toutefois reposer sur des considérations objectives. L’engagement du pouvoir adjudicateur ne porte donc que sur la durée initiale du marché.</w:t>
            </w:r>
          </w:p>
          <w:p w14:paraId="2A816E67" w14:textId="77777777" w:rsidR="00C51553" w:rsidRPr="00420A56" w:rsidRDefault="00C51553" w:rsidP="00420A56">
            <w:pPr>
              <w:jc w:val="left"/>
              <w:rPr>
                <w:rFonts w:eastAsia="Times New Roman" w:cs="Calibri"/>
                <w:sz w:val="20"/>
                <w:szCs w:val="20"/>
                <w:lang w:eastAsia="fr-BE"/>
              </w:rPr>
            </w:pPr>
            <w:r w:rsidRPr="00420A56">
              <w:rPr>
                <w:rFonts w:eastAsia="Times New Roman" w:cs="Calibri"/>
                <w:b/>
                <w:bCs/>
                <w:sz w:val="20"/>
                <w:szCs w:val="20"/>
                <w:lang w:eastAsia="fr-BE"/>
              </w:rPr>
              <w:t>NB :</w:t>
            </w:r>
            <w:r w:rsidRPr="00420A56">
              <w:rPr>
                <w:rFonts w:eastAsia="Times New Roman" w:cs="Calibri"/>
                <w:sz w:val="20"/>
                <w:szCs w:val="20"/>
                <w:lang w:eastAsia="fr-BE"/>
              </w:rPr>
              <w:t xml:space="preserve"> ce point commun n’existe pas en cas de reconduction tacite. En effet, dans ce cas, le silence du pouvoir adjudicateur entraîne automatiquement la reconduction du marché. A contrario, s’il ne souhaite pas reconduire le marché, il a l’obligation de prendre une décision en ce sens. L’engagement du pouvoir adjudicateur porte donc sur la durée totale du marché, sauf décision contraire.</w:t>
            </w:r>
          </w:p>
          <w:p w14:paraId="427527CE" w14:textId="77777777" w:rsidR="00C51553" w:rsidRPr="00F32C78" w:rsidRDefault="00C51553" w:rsidP="00420A56">
            <w:pPr>
              <w:jc w:val="left"/>
              <w:rPr>
                <w:sz w:val="20"/>
                <w:szCs w:val="20"/>
              </w:rPr>
            </w:pPr>
          </w:p>
        </w:tc>
        <w:tc>
          <w:tcPr>
            <w:tcW w:w="4627" w:type="dxa"/>
            <w:shd w:val="clear" w:color="auto" w:fill="B4C6E7" w:themeFill="accent1" w:themeFillTint="66"/>
          </w:tcPr>
          <w:p w14:paraId="2384E121" w14:textId="77777777" w:rsidR="00C51553" w:rsidRPr="00420A56" w:rsidRDefault="00C51553" w:rsidP="00420A56">
            <w:pPr>
              <w:jc w:val="left"/>
              <w:rPr>
                <w:rFonts w:eastAsia="Times New Roman" w:cs="Calibri"/>
                <w:sz w:val="20"/>
                <w:szCs w:val="20"/>
                <w:lang w:eastAsia="fr-BE"/>
              </w:rPr>
            </w:pPr>
            <w:r w:rsidRPr="00420A56">
              <w:rPr>
                <w:rFonts w:eastAsia="Times New Roman" w:cs="Calibri"/>
                <w:sz w:val="20"/>
                <w:szCs w:val="20"/>
                <w:lang w:eastAsia="fr-BE"/>
              </w:rPr>
              <w:t xml:space="preserve">Son application par le pouvoir adjudicateur reste une faculté. La décision de non- </w:t>
            </w:r>
          </w:p>
          <w:p w14:paraId="3BBD79EB" w14:textId="77777777" w:rsidR="00C51553" w:rsidRPr="00420A56" w:rsidRDefault="00C51553" w:rsidP="00420A56">
            <w:pPr>
              <w:jc w:val="left"/>
              <w:rPr>
                <w:rFonts w:eastAsia="Times New Roman" w:cs="Calibri"/>
                <w:sz w:val="20"/>
                <w:szCs w:val="20"/>
                <w:lang w:eastAsia="fr-BE"/>
              </w:rPr>
            </w:pPr>
            <w:r w:rsidRPr="00420A56">
              <w:rPr>
                <w:rFonts w:eastAsia="Times New Roman" w:cs="Calibri"/>
                <w:sz w:val="20"/>
                <w:szCs w:val="20"/>
                <w:lang w:eastAsia="fr-BE"/>
              </w:rPr>
              <w:t>répétition doit toutefois reposer sur des considérations objectives. L’engagement du pouvoir adjudicateur ne porte donc que sur la durée du marché initial.</w:t>
            </w:r>
          </w:p>
          <w:p w14:paraId="6EFAF86C" w14:textId="77777777" w:rsidR="00C51553" w:rsidRPr="00F32C78" w:rsidRDefault="00C51553" w:rsidP="00420A56">
            <w:pPr>
              <w:jc w:val="left"/>
              <w:rPr>
                <w:sz w:val="20"/>
                <w:szCs w:val="20"/>
              </w:rPr>
            </w:pPr>
          </w:p>
        </w:tc>
      </w:tr>
      <w:tr w:rsidR="00C51553" w:rsidRPr="00F32C78" w14:paraId="4FC815D6" w14:textId="77777777" w:rsidTr="00420A56">
        <w:trPr>
          <w:jc w:val="center"/>
        </w:trPr>
        <w:tc>
          <w:tcPr>
            <w:tcW w:w="2122" w:type="dxa"/>
            <w:shd w:val="clear" w:color="auto" w:fill="8496B0" w:themeFill="text2" w:themeFillTint="99"/>
          </w:tcPr>
          <w:p w14:paraId="3A302F8A" w14:textId="77777777" w:rsidR="00C51553" w:rsidRPr="00420A56" w:rsidRDefault="00C51553" w:rsidP="00152D40">
            <w:pPr>
              <w:pStyle w:val="Titre1"/>
              <w:jc w:val="left"/>
              <w:rPr>
                <w:rFonts w:ascii="Century Gothic" w:hAnsi="Century Gothic"/>
                <w:sz w:val="24"/>
                <w:szCs w:val="24"/>
              </w:rPr>
            </w:pPr>
            <w:bookmarkStart w:id="6" w:name="_Toc171589695"/>
            <w:r w:rsidRPr="00420A56">
              <w:rPr>
                <w:rFonts w:ascii="Century Gothic" w:hAnsi="Century Gothic"/>
                <w:sz w:val="24"/>
                <w:szCs w:val="24"/>
              </w:rPr>
              <w:t>Engagement de l’adjudicataire</w:t>
            </w:r>
            <w:bookmarkEnd w:id="6"/>
          </w:p>
          <w:p w14:paraId="659CA516" w14:textId="77777777" w:rsidR="00C51553" w:rsidRPr="00420A56" w:rsidRDefault="00C51553" w:rsidP="00152D40">
            <w:pPr>
              <w:jc w:val="left"/>
              <w:rPr>
                <w:sz w:val="24"/>
                <w:szCs w:val="24"/>
              </w:rPr>
            </w:pPr>
          </w:p>
        </w:tc>
        <w:tc>
          <w:tcPr>
            <w:tcW w:w="4019" w:type="dxa"/>
            <w:shd w:val="clear" w:color="auto" w:fill="B4C6E7" w:themeFill="accent1" w:themeFillTint="66"/>
          </w:tcPr>
          <w:p w14:paraId="457622AB" w14:textId="77777777" w:rsidR="00C51553" w:rsidRPr="00F32C78" w:rsidRDefault="00C51553" w:rsidP="00420A56">
            <w:pPr>
              <w:jc w:val="left"/>
              <w:rPr>
                <w:sz w:val="20"/>
                <w:szCs w:val="20"/>
              </w:rPr>
            </w:pPr>
            <w:r w:rsidRPr="00F32C78">
              <w:rPr>
                <w:rFonts w:eastAsia="Times New Roman" w:cs="Calibri"/>
                <w:sz w:val="20"/>
                <w:szCs w:val="20"/>
                <w:lang w:eastAsia="fr-BE"/>
              </w:rPr>
              <w:t>L’adjudicataire est engagé par son offre pour la durée totale du marché, en ce compris les reconductions.</w:t>
            </w:r>
          </w:p>
        </w:tc>
        <w:tc>
          <w:tcPr>
            <w:tcW w:w="4627" w:type="dxa"/>
            <w:shd w:val="clear" w:color="auto" w:fill="B4C6E7" w:themeFill="accent1" w:themeFillTint="66"/>
          </w:tcPr>
          <w:p w14:paraId="601CE69E" w14:textId="77777777" w:rsidR="00C51553" w:rsidRPr="00F32C78" w:rsidRDefault="00C51553" w:rsidP="00420A56">
            <w:pPr>
              <w:jc w:val="left"/>
              <w:rPr>
                <w:sz w:val="20"/>
                <w:szCs w:val="20"/>
              </w:rPr>
            </w:pPr>
            <w:r w:rsidRPr="00F32C78">
              <w:rPr>
                <w:rFonts w:eastAsia="Times New Roman" w:cs="Calibri"/>
                <w:sz w:val="20"/>
                <w:szCs w:val="20"/>
                <w:lang w:eastAsia="fr-BE"/>
              </w:rPr>
              <w:t>L’adjudicataire est engagé par son offre pour la durée du marché initial, mais pas pour les éventuels futurs marchés répétitifs. Il s’agit effectivement de marchés distincts dont les conditions pourront faire l’objet de négociations. L’adjudicataire pourrait d’ailleurs très bien refuser la répétition.</w:t>
            </w:r>
          </w:p>
        </w:tc>
      </w:tr>
      <w:tr w:rsidR="00C51553" w:rsidRPr="00F32C78" w14:paraId="04F5AC98" w14:textId="77777777" w:rsidTr="00420A56">
        <w:trPr>
          <w:jc w:val="center"/>
        </w:trPr>
        <w:tc>
          <w:tcPr>
            <w:tcW w:w="2122" w:type="dxa"/>
            <w:shd w:val="clear" w:color="auto" w:fill="8496B0" w:themeFill="text2" w:themeFillTint="99"/>
          </w:tcPr>
          <w:p w14:paraId="49FA95CC" w14:textId="77777777" w:rsidR="00C51553" w:rsidRPr="00420A56" w:rsidRDefault="00C51553" w:rsidP="00152D40">
            <w:pPr>
              <w:pStyle w:val="Titre1"/>
              <w:jc w:val="left"/>
              <w:rPr>
                <w:rFonts w:ascii="Century Gothic" w:hAnsi="Century Gothic"/>
                <w:sz w:val="24"/>
                <w:szCs w:val="24"/>
              </w:rPr>
            </w:pPr>
            <w:bookmarkStart w:id="7" w:name="_Toc171589696"/>
            <w:r w:rsidRPr="00420A56">
              <w:rPr>
                <w:rFonts w:ascii="Century Gothic" w:hAnsi="Century Gothic"/>
                <w:sz w:val="24"/>
                <w:szCs w:val="24"/>
              </w:rPr>
              <w:lastRenderedPageBreak/>
              <w:t xml:space="preserve">Passage </w:t>
            </w:r>
            <w:commentRangeStart w:id="8"/>
            <w:r w:rsidRPr="00420A56">
              <w:rPr>
                <w:rFonts w:ascii="Century Gothic" w:hAnsi="Century Gothic"/>
                <w:sz w:val="24"/>
                <w:szCs w:val="24"/>
              </w:rPr>
              <w:t>IF</w:t>
            </w:r>
            <w:commentRangeEnd w:id="8"/>
            <w:r w:rsidRPr="00420A56">
              <w:rPr>
                <w:rStyle w:val="Marquedecommentaire"/>
                <w:rFonts w:ascii="Century Gothic" w:eastAsiaTheme="majorEastAsia" w:hAnsi="Century Gothic"/>
                <w:sz w:val="24"/>
                <w:szCs w:val="24"/>
              </w:rPr>
              <w:commentReference w:id="8"/>
            </w:r>
            <w:bookmarkEnd w:id="7"/>
          </w:p>
          <w:p w14:paraId="2D5191E5" w14:textId="77777777" w:rsidR="00C51553" w:rsidRPr="00420A56" w:rsidRDefault="00C51553" w:rsidP="00152D40">
            <w:pPr>
              <w:jc w:val="left"/>
              <w:rPr>
                <w:sz w:val="24"/>
                <w:szCs w:val="24"/>
              </w:rPr>
            </w:pPr>
          </w:p>
        </w:tc>
        <w:tc>
          <w:tcPr>
            <w:tcW w:w="4019" w:type="dxa"/>
            <w:shd w:val="clear" w:color="auto" w:fill="B4C6E7" w:themeFill="accent1" w:themeFillTint="66"/>
          </w:tcPr>
          <w:p w14:paraId="2D56CF6A" w14:textId="77777777" w:rsidR="00C51553" w:rsidRPr="00F32C78" w:rsidRDefault="00C51553" w:rsidP="00420A56">
            <w:pPr>
              <w:jc w:val="left"/>
              <w:rPr>
                <w:sz w:val="20"/>
                <w:szCs w:val="20"/>
              </w:rPr>
            </w:pPr>
            <w:r w:rsidRPr="00F32C78">
              <w:rPr>
                <w:rFonts w:eastAsia="Times New Roman" w:cs="Calibri"/>
                <w:sz w:val="20"/>
                <w:szCs w:val="20"/>
                <w:lang w:eastAsia="fr-BE"/>
              </w:rPr>
              <w:t>La reconduction du marché doit être soumise à l’approbation préalable de l’Inspection des Finances si le marché public concerné a déjà fait l’objet d’un avis de l’Inspection des Finances au stade de l’attribution.</w:t>
            </w:r>
          </w:p>
        </w:tc>
        <w:tc>
          <w:tcPr>
            <w:tcW w:w="4627" w:type="dxa"/>
            <w:shd w:val="clear" w:color="auto" w:fill="B4C6E7" w:themeFill="accent1" w:themeFillTint="66"/>
          </w:tcPr>
          <w:p w14:paraId="765FEB73" w14:textId="77777777" w:rsidR="00C51553" w:rsidRPr="00F32C78" w:rsidRDefault="00C51553" w:rsidP="00420A56">
            <w:pPr>
              <w:jc w:val="left"/>
              <w:rPr>
                <w:rFonts w:eastAsia="Times New Roman" w:cs="Calibri"/>
                <w:sz w:val="20"/>
                <w:szCs w:val="20"/>
                <w:lang w:eastAsia="fr-BE"/>
              </w:rPr>
            </w:pPr>
            <w:r w:rsidRPr="00F32C78">
              <w:rPr>
                <w:rFonts w:eastAsia="Times New Roman" w:cs="Calibri"/>
                <w:sz w:val="20"/>
                <w:szCs w:val="20"/>
                <w:lang w:eastAsia="fr-BE"/>
              </w:rPr>
              <w:t>Les marchés répétitifs, sont soumis pour approbation à l’Inspection des Finances, conformément aux seuils fixés à l’article 50 de l’AGW du 8 juin 2017. En vertu de celui-ci, l’avis de l’Inspecteur des Finances est requis, dans le cadre d’un marché public de services passé par procédure négociée sans publication préalable, lorsque le montant du marché est égal ou supérieur à 85.000 HTVA. Dans le cadre d’un marché public de travaux, le seuil est de 85.000 euros HTVA.</w:t>
            </w:r>
          </w:p>
          <w:p w14:paraId="58D881BA" w14:textId="77777777" w:rsidR="00C51553" w:rsidRPr="00F32C78" w:rsidRDefault="00C51553" w:rsidP="00420A56">
            <w:pPr>
              <w:jc w:val="left"/>
              <w:rPr>
                <w:sz w:val="20"/>
                <w:szCs w:val="20"/>
              </w:rPr>
            </w:pPr>
          </w:p>
        </w:tc>
      </w:tr>
      <w:tr w:rsidR="00C51553" w:rsidRPr="00F32C78" w14:paraId="6FC37F38" w14:textId="77777777" w:rsidTr="00420A56">
        <w:trPr>
          <w:jc w:val="center"/>
        </w:trPr>
        <w:tc>
          <w:tcPr>
            <w:tcW w:w="2122" w:type="dxa"/>
            <w:shd w:val="clear" w:color="auto" w:fill="8496B0" w:themeFill="text2" w:themeFillTint="99"/>
          </w:tcPr>
          <w:p w14:paraId="5FEAE589" w14:textId="77777777" w:rsidR="00C51553" w:rsidRPr="00420A56" w:rsidRDefault="00C51553" w:rsidP="00152D40">
            <w:pPr>
              <w:pStyle w:val="Titre1"/>
              <w:jc w:val="left"/>
              <w:rPr>
                <w:rFonts w:ascii="Century Gothic" w:hAnsi="Century Gothic"/>
                <w:sz w:val="24"/>
                <w:szCs w:val="24"/>
              </w:rPr>
            </w:pPr>
            <w:bookmarkStart w:id="10" w:name="_Toc171589697"/>
            <w:r w:rsidRPr="00420A56">
              <w:rPr>
                <w:rFonts w:ascii="Century Gothic" w:hAnsi="Century Gothic"/>
                <w:sz w:val="24"/>
                <w:szCs w:val="24"/>
                <w:bdr w:val="none" w:sz="0" w:space="0" w:color="auto" w:frame="1"/>
              </w:rPr>
              <w:t xml:space="preserve">Délégations de </w:t>
            </w:r>
            <w:commentRangeStart w:id="11"/>
            <w:r w:rsidRPr="00420A56">
              <w:rPr>
                <w:rFonts w:ascii="Century Gothic" w:hAnsi="Century Gothic"/>
                <w:sz w:val="24"/>
                <w:szCs w:val="24"/>
                <w:bdr w:val="none" w:sz="0" w:space="0" w:color="auto" w:frame="1"/>
              </w:rPr>
              <w:t>pouvoir</w:t>
            </w:r>
            <w:commentRangeEnd w:id="11"/>
            <w:r w:rsidRPr="00420A56">
              <w:rPr>
                <w:rStyle w:val="Marquedecommentaire"/>
                <w:rFonts w:ascii="Century Gothic" w:eastAsiaTheme="majorEastAsia" w:hAnsi="Century Gothic"/>
                <w:sz w:val="24"/>
                <w:szCs w:val="24"/>
              </w:rPr>
              <w:commentReference w:id="11"/>
            </w:r>
            <w:bookmarkEnd w:id="10"/>
          </w:p>
        </w:tc>
        <w:tc>
          <w:tcPr>
            <w:tcW w:w="4019" w:type="dxa"/>
            <w:shd w:val="clear" w:color="auto" w:fill="B4C6E7" w:themeFill="accent1" w:themeFillTint="66"/>
          </w:tcPr>
          <w:p w14:paraId="517499F3" w14:textId="77777777" w:rsidR="00C51553" w:rsidRPr="00F32C78" w:rsidRDefault="00C51553" w:rsidP="00420A56">
            <w:pPr>
              <w:spacing w:after="200" w:line="253" w:lineRule="atLeast"/>
              <w:jc w:val="left"/>
              <w:rPr>
                <w:rFonts w:eastAsia="Times New Roman" w:cs="Calibri"/>
                <w:sz w:val="20"/>
                <w:szCs w:val="20"/>
                <w:lang w:eastAsia="fr-BE"/>
              </w:rPr>
            </w:pPr>
            <w:r w:rsidRPr="00F32C78">
              <w:rPr>
                <w:rFonts w:eastAsia="Times New Roman" w:cs="Calibri"/>
                <w:sz w:val="20"/>
                <w:szCs w:val="20"/>
                <w:lang w:eastAsia="fr-BE"/>
              </w:rPr>
              <w:t>Une décision de reconduction est considérée comme une décision relative à la simple exécution du marché dans la mesure où le pouvoir adjudicateur reste dans les limites de l'objet de celui-ci. La clause de reconduction étant prévue dans le CSC, il s’agit effectivement d’exécuter une clause contractuelle qui n’impacte pas l’objet du marché.</w:t>
            </w:r>
          </w:p>
          <w:p w14:paraId="0142EFAD" w14:textId="2A8D1072" w:rsidR="00C51553" w:rsidRPr="00F32C78" w:rsidRDefault="00C51553" w:rsidP="00420A56">
            <w:pPr>
              <w:spacing w:after="200" w:line="253" w:lineRule="atLeast"/>
              <w:jc w:val="left"/>
              <w:rPr>
                <w:rFonts w:eastAsia="Times New Roman" w:cs="Calibri"/>
                <w:sz w:val="20"/>
                <w:szCs w:val="20"/>
                <w:lang w:eastAsia="fr-BE"/>
              </w:rPr>
            </w:pPr>
            <w:r w:rsidRPr="00F32C78">
              <w:rPr>
                <w:rFonts w:eastAsia="Times New Roman" w:cs="Calibri"/>
                <w:sz w:val="20"/>
                <w:szCs w:val="20"/>
                <w:lang w:eastAsia="fr-BE"/>
              </w:rPr>
              <w:t>Conformément à l’article 24 de l’AGW du 23 mai 2019 relatif aux délégations de pouvoirs au Service public de Wallonie, l'agent ayant délégation pour passer un marché a également délégation pour prendre les décisions ayant trait à la simple exécution de ce marché et donc pour prendre les décisions de reconduction.</w:t>
            </w:r>
          </w:p>
          <w:p w14:paraId="309C1F8C" w14:textId="15032A62" w:rsidR="00C51553" w:rsidRPr="00003D8C" w:rsidRDefault="00C51553" w:rsidP="00420A56">
            <w:pPr>
              <w:spacing w:after="200" w:line="253" w:lineRule="atLeast"/>
              <w:jc w:val="left"/>
              <w:rPr>
                <w:rFonts w:eastAsia="Times New Roman" w:cs="Calibri"/>
                <w:sz w:val="20"/>
                <w:szCs w:val="20"/>
                <w:lang w:eastAsia="fr-BE"/>
              </w:rPr>
            </w:pPr>
            <w:r w:rsidRPr="00420A56">
              <w:rPr>
                <w:rFonts w:eastAsia="Times New Roman" w:cs="Calibri"/>
                <w:b/>
                <w:bCs/>
                <w:sz w:val="20"/>
                <w:szCs w:val="20"/>
                <w:lang w:eastAsia="fr-BE"/>
              </w:rPr>
              <w:t>Particularité :</w:t>
            </w:r>
            <w:r w:rsidRPr="00F32C78">
              <w:rPr>
                <w:rFonts w:eastAsia="Times New Roman" w:cs="Calibri"/>
                <w:sz w:val="20"/>
                <w:szCs w:val="20"/>
                <w:lang w:eastAsia="fr-BE"/>
              </w:rPr>
              <w:t xml:space="preserve"> la secrétaire générale, le directeur général ou l'inspecteur en charge de l'Agence concernée a délégation pour les décisions relatives à la simple exécution des marchés passés par le ministre</w:t>
            </w:r>
            <w:r w:rsidR="00003D8C">
              <w:rPr>
                <w:rFonts w:eastAsia="Times New Roman" w:cs="Calibri"/>
                <w:sz w:val="20"/>
                <w:szCs w:val="20"/>
                <w:lang w:eastAsia="fr-BE"/>
              </w:rPr>
              <w:t>.</w:t>
            </w:r>
          </w:p>
        </w:tc>
        <w:tc>
          <w:tcPr>
            <w:tcW w:w="4627" w:type="dxa"/>
            <w:shd w:val="clear" w:color="auto" w:fill="B4C6E7" w:themeFill="accent1" w:themeFillTint="66"/>
          </w:tcPr>
          <w:p w14:paraId="70731107" w14:textId="1C3A75D9" w:rsidR="00C51553" w:rsidRPr="00F32C78" w:rsidRDefault="00C51553" w:rsidP="00420A56">
            <w:pPr>
              <w:spacing w:after="200" w:line="253" w:lineRule="atLeast"/>
              <w:jc w:val="left"/>
              <w:rPr>
                <w:sz w:val="20"/>
                <w:szCs w:val="20"/>
              </w:rPr>
            </w:pPr>
            <w:r w:rsidRPr="00F32C78">
              <w:rPr>
                <w:rFonts w:eastAsia="Times New Roman" w:cs="Calibri"/>
                <w:sz w:val="20"/>
                <w:szCs w:val="20"/>
                <w:lang w:eastAsia="fr-BE"/>
              </w:rPr>
              <w:t>En ce qui concerne les marchés répétitifs de services ou de travaux passés par PNSPP, il convient de se référer à</w:t>
            </w:r>
            <w:r w:rsidRPr="00F32C78">
              <w:rPr>
                <w:sz w:val="20"/>
                <w:szCs w:val="20"/>
              </w:rPr>
              <w:t xml:space="preserve"> l’article 19 in fine de l’AGW du 23 mai 2019.</w:t>
            </w:r>
          </w:p>
          <w:p w14:paraId="09612B36" w14:textId="09C7C3A7" w:rsidR="00C51553" w:rsidRPr="00F32C78" w:rsidRDefault="00C51553" w:rsidP="00420A56">
            <w:pPr>
              <w:spacing w:after="200" w:line="253" w:lineRule="atLeast"/>
              <w:jc w:val="left"/>
              <w:rPr>
                <w:sz w:val="20"/>
                <w:szCs w:val="20"/>
              </w:rPr>
            </w:pPr>
            <w:r w:rsidRPr="00F32C78">
              <w:rPr>
                <w:sz w:val="20"/>
                <w:szCs w:val="20"/>
              </w:rPr>
              <w:t>La délégation pour l'approbation de ces marchés est accordée à l'autorité qui a approuvé le marché initial passé selon une des procédures visées à l'article 35, alinéa 1er, de la loi sur les marchés publics.</w:t>
            </w:r>
          </w:p>
        </w:tc>
      </w:tr>
    </w:tbl>
    <w:p w14:paraId="41CED5A0" w14:textId="77777777" w:rsidR="007D03D5" w:rsidRDefault="007D03D5" w:rsidP="00D06DF3"/>
    <w:p w14:paraId="681EABF3" w14:textId="0CB7C510" w:rsidR="007D03D5" w:rsidRDefault="007D03D5" w:rsidP="00D06DF3"/>
    <w:sectPr w:rsidR="007D03D5" w:rsidSect="00FB7146">
      <w:headerReference w:type="default" r:id="rId15"/>
      <w:footerReference w:type="default" r:id="rId16"/>
      <w:pgSz w:w="11906" w:h="16838"/>
      <w:pgMar w:top="1440" w:right="1080" w:bottom="1440" w:left="108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DMP" w:date="2021-03-24T17:35:00Z" w:initials="DMP">
    <w:p w14:paraId="39F487EC" w14:textId="77777777" w:rsidR="00C51553" w:rsidRDefault="00C51553" w:rsidP="00C51553">
      <w:pPr>
        <w:pStyle w:val="Commentaire"/>
      </w:pPr>
      <w:r>
        <w:rPr>
          <w:rStyle w:val="Marquedecommentaire"/>
        </w:rPr>
        <w:annotationRef/>
      </w:r>
      <w:bookmarkStart w:id="9" w:name="_Hlk67499869"/>
      <w:r>
        <w:t>Ce point n’est applicable que pour les marchés passés par la Région wallonne (Service Public de Wallonie). Les autres pouvoirs adjudicateurs wallons sont invités à se conformer à leurs règles de fonctionnement propres.</w:t>
      </w:r>
      <w:bookmarkEnd w:id="9"/>
    </w:p>
  </w:comment>
  <w:comment w:id="11" w:author="DMP" w:date="2021-03-24T17:37:00Z" w:initials="DMP">
    <w:p w14:paraId="750F36E2" w14:textId="77777777" w:rsidR="00C51553" w:rsidRDefault="00C51553" w:rsidP="00C51553">
      <w:pPr>
        <w:pStyle w:val="Commentaire"/>
      </w:pPr>
      <w:r>
        <w:rPr>
          <w:rStyle w:val="Marquedecommentaire"/>
        </w:rPr>
        <w:annotationRef/>
      </w:r>
      <w:r w:rsidRPr="003531E6">
        <w:t>Ce point n’est applicable que pour les marchés passés par la Région wallonne</w:t>
      </w:r>
      <w:r>
        <w:t xml:space="preserve"> (Service public de Wallonie)</w:t>
      </w:r>
      <w:r w:rsidRPr="003531E6">
        <w:t>. Les autres pouvoirs adjudicateurs wallons sont invités à se conformer à leurs règles de fonctionnement propres.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487EC" w15:done="0"/>
  <w15:commentEx w15:paraId="750F3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5F6E0" w16cex:dateUtc="2021-03-24T16:35:00Z"/>
  <w16cex:commentExtensible w16cex:durableId="2405F757" w16cex:dateUtc="2021-03-24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487EC" w16cid:durableId="2405F6E0"/>
  <w16cid:commentId w16cid:paraId="750F36E2" w16cid:durableId="2405F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21D5" w14:textId="77777777" w:rsidR="00F2093F" w:rsidRDefault="00F2093F" w:rsidP="00285730">
      <w:pPr>
        <w:spacing w:after="0" w:line="240" w:lineRule="auto"/>
      </w:pPr>
      <w:r>
        <w:separator/>
      </w:r>
    </w:p>
  </w:endnote>
  <w:endnote w:type="continuationSeparator" w:id="0">
    <w:p w14:paraId="37FA56DF" w14:textId="77777777" w:rsidR="00F2093F" w:rsidRDefault="00F2093F" w:rsidP="00285730">
      <w:pPr>
        <w:spacing w:after="0" w:line="240" w:lineRule="auto"/>
      </w:pPr>
      <w:r>
        <w:continuationSeparator/>
      </w:r>
    </w:p>
  </w:endnote>
  <w:endnote w:type="continuationNotice" w:id="1">
    <w:p w14:paraId="464B2BF2" w14:textId="77777777" w:rsidR="00F2093F" w:rsidRDefault="00F20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742124"/>
      <w:docPartObj>
        <w:docPartGallery w:val="Page Numbers (Bottom of Page)"/>
        <w:docPartUnique/>
      </w:docPartObj>
    </w:sdtPr>
    <w:sdtContent>
      <w:p w14:paraId="488B9FD6" w14:textId="1DB945BF" w:rsidR="00285730" w:rsidRDefault="00285730">
        <w:pPr>
          <w:pStyle w:val="Pieddepage"/>
          <w:jc w:val="right"/>
        </w:pPr>
        <w:r>
          <w:rPr>
            <w:noProof/>
          </w:rPr>
          <w:drawing>
            <wp:anchor distT="0" distB="0" distL="114300" distR="114300" simplePos="0" relativeHeight="251658240" behindDoc="0" locked="0" layoutInCell="1" allowOverlap="1" wp14:anchorId="29B05D16" wp14:editId="0C4F032F">
              <wp:simplePos x="0" y="0"/>
              <wp:positionH relativeFrom="column">
                <wp:posOffset>-508922</wp:posOffset>
              </wp:positionH>
              <wp:positionV relativeFrom="paragraph">
                <wp:posOffset>164363</wp:posOffset>
              </wp:positionV>
              <wp:extent cx="1017638" cy="45215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38" cy="452159"/>
                      </a:xfrm>
                      <a:prstGeom prst="rect">
                        <a:avLst/>
                      </a:prstGeom>
                      <a:noFill/>
                      <a:ln>
                        <a:noFill/>
                      </a:ln>
                    </pic:spPr>
                  </pic:pic>
                </a:graphicData>
              </a:graphic>
            </wp:anchor>
          </w:drawing>
        </w:r>
        <w:r>
          <w:fldChar w:fldCharType="begin"/>
        </w:r>
        <w:r>
          <w:instrText>PAGE   \* MERGEFORMAT</w:instrText>
        </w:r>
        <w:r>
          <w:fldChar w:fldCharType="separate"/>
        </w:r>
        <w:r>
          <w:rPr>
            <w:lang w:val="fr-FR"/>
          </w:rPr>
          <w:t>2</w:t>
        </w:r>
        <w:r>
          <w:fldChar w:fldCharType="end"/>
        </w:r>
      </w:p>
    </w:sdtContent>
  </w:sdt>
  <w:p w14:paraId="74246FA7" w14:textId="49109F3A" w:rsidR="00285730" w:rsidRDefault="002857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C815" w14:textId="77777777" w:rsidR="00F2093F" w:rsidRDefault="00F2093F" w:rsidP="00285730">
      <w:pPr>
        <w:spacing w:after="0" w:line="240" w:lineRule="auto"/>
      </w:pPr>
      <w:r>
        <w:separator/>
      </w:r>
    </w:p>
  </w:footnote>
  <w:footnote w:type="continuationSeparator" w:id="0">
    <w:p w14:paraId="15A70671" w14:textId="77777777" w:rsidR="00F2093F" w:rsidRDefault="00F2093F" w:rsidP="00285730">
      <w:pPr>
        <w:spacing w:after="0" w:line="240" w:lineRule="auto"/>
      </w:pPr>
      <w:r>
        <w:continuationSeparator/>
      </w:r>
    </w:p>
  </w:footnote>
  <w:footnote w:type="continuationNotice" w:id="1">
    <w:p w14:paraId="26ECA0E9" w14:textId="77777777" w:rsidR="00F2093F" w:rsidRDefault="00F209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B49E" w14:textId="0E792759" w:rsidR="005A3186" w:rsidRDefault="00000000">
    <w:pPr>
      <w:pStyle w:val="En-tte"/>
      <w:jc w:val="right"/>
      <w:rPr>
        <w:color w:val="7F7F7F" w:themeColor="text1" w:themeTint="80"/>
      </w:rPr>
    </w:pPr>
    <w:sdt>
      <w:sdtPr>
        <w:rPr>
          <w:color w:val="7F7F7F" w:themeColor="text1" w:themeTint="80"/>
        </w:rPr>
        <w:alias w:val="Titre"/>
        <w:tag w:val=""/>
        <w:id w:val="1116400235"/>
        <w:placeholder>
          <w:docPart w:val="F48CDF89458C4E95B509D733BEECC5F5"/>
        </w:placeholder>
        <w:dataBinding w:prefixMappings="xmlns:ns0='http://purl.org/dc/elements/1.1/' xmlns:ns1='http://schemas.openxmlformats.org/package/2006/metadata/core-properties' " w:xpath="/ns1:coreProperties[1]/ns0:title[1]" w:storeItemID="{6C3C8BC8-F283-45AE-878A-BAB7291924A1}"/>
        <w:text/>
      </w:sdtPr>
      <w:sdtContent>
        <w:r w:rsidR="00002236">
          <w:rPr>
            <w:color w:val="7F7F7F" w:themeColor="text1" w:themeTint="80"/>
          </w:rPr>
          <w:t xml:space="preserve">La reconduction – </w:t>
        </w:r>
        <w:r w:rsidR="001E192F">
          <w:rPr>
            <w:color w:val="7F7F7F" w:themeColor="text1" w:themeTint="80"/>
          </w:rPr>
          <w:t>Juillet 2024</w:t>
        </w:r>
      </w:sdtContent>
    </w:sdt>
  </w:p>
  <w:p w14:paraId="5F2E455E" w14:textId="77777777" w:rsidR="00E728D3" w:rsidRDefault="00E728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333"/>
    <w:multiLevelType w:val="hybridMultilevel"/>
    <w:tmpl w:val="63426B9A"/>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F8574A"/>
    <w:multiLevelType w:val="hybridMultilevel"/>
    <w:tmpl w:val="172079C4"/>
    <w:lvl w:ilvl="0" w:tplc="3A20347E">
      <w:numFmt w:val="bullet"/>
      <w:lvlText w:val="-"/>
      <w:lvlJc w:val="left"/>
      <w:pPr>
        <w:ind w:left="720" w:hanging="360"/>
      </w:pPr>
      <w:rPr>
        <w:rFonts w:ascii="Century Gothic" w:hAnsi="Century Gothic" w:hint="default"/>
        <w:sz w:val="21"/>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0642AB5"/>
    <w:multiLevelType w:val="hybridMultilevel"/>
    <w:tmpl w:val="42701190"/>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0E462A8"/>
    <w:multiLevelType w:val="hybridMultilevel"/>
    <w:tmpl w:val="54801476"/>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698757F"/>
    <w:multiLevelType w:val="hybridMultilevel"/>
    <w:tmpl w:val="9F760B32"/>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2555570"/>
    <w:multiLevelType w:val="hybridMultilevel"/>
    <w:tmpl w:val="D1E6180A"/>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FDB187E"/>
    <w:multiLevelType w:val="hybridMultilevel"/>
    <w:tmpl w:val="3C501994"/>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8DE4A2A"/>
    <w:multiLevelType w:val="hybridMultilevel"/>
    <w:tmpl w:val="C63C8CE8"/>
    <w:lvl w:ilvl="0" w:tplc="CD5E49D4">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6C9A21DE"/>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000769"/>
    <w:multiLevelType w:val="hybridMultilevel"/>
    <w:tmpl w:val="1C96F1B8"/>
    <w:lvl w:ilvl="0" w:tplc="3B6C1242">
      <w:start w:val="42"/>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754C3846"/>
    <w:multiLevelType w:val="hybridMultilevel"/>
    <w:tmpl w:val="1F2E966E"/>
    <w:lvl w:ilvl="0" w:tplc="3A20347E">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8D788F"/>
    <w:multiLevelType w:val="hybridMultilevel"/>
    <w:tmpl w:val="92E832C2"/>
    <w:lvl w:ilvl="0" w:tplc="3A20347E">
      <w:numFmt w:val="bullet"/>
      <w:lvlText w:val="-"/>
      <w:lvlJc w:val="left"/>
      <w:pPr>
        <w:ind w:left="720" w:hanging="360"/>
      </w:pPr>
      <w:rPr>
        <w:rFonts w:ascii="Century Gothic" w:hAnsi="Century Gothic"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E6643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16447767">
    <w:abstractNumId w:val="12"/>
  </w:num>
  <w:num w:numId="2" w16cid:durableId="608853585">
    <w:abstractNumId w:val="1"/>
  </w:num>
  <w:num w:numId="3" w16cid:durableId="1199394193">
    <w:abstractNumId w:val="8"/>
  </w:num>
  <w:num w:numId="4" w16cid:durableId="1292132930">
    <w:abstractNumId w:val="5"/>
  </w:num>
  <w:num w:numId="5" w16cid:durableId="1496189211">
    <w:abstractNumId w:val="10"/>
  </w:num>
  <w:num w:numId="6" w16cid:durableId="1426876007">
    <w:abstractNumId w:val="4"/>
  </w:num>
  <w:num w:numId="7" w16cid:durableId="1700086484">
    <w:abstractNumId w:val="0"/>
  </w:num>
  <w:num w:numId="8" w16cid:durableId="828210923">
    <w:abstractNumId w:val="6"/>
  </w:num>
  <w:num w:numId="9" w16cid:durableId="1059791561">
    <w:abstractNumId w:val="3"/>
  </w:num>
  <w:num w:numId="10" w16cid:durableId="826164943">
    <w:abstractNumId w:val="2"/>
  </w:num>
  <w:num w:numId="11" w16cid:durableId="1611693644">
    <w:abstractNumId w:val="11"/>
  </w:num>
  <w:num w:numId="12" w16cid:durableId="1148518695">
    <w:abstractNumId w:val="7"/>
  </w:num>
  <w:num w:numId="13" w16cid:durableId="1871454384">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P">
    <w15:presenceInfo w15:providerId="None" w15:userId="D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98"/>
    <w:rsid w:val="00002236"/>
    <w:rsid w:val="00003D8C"/>
    <w:rsid w:val="000346EB"/>
    <w:rsid w:val="00043662"/>
    <w:rsid w:val="000443EA"/>
    <w:rsid w:val="000508AA"/>
    <w:rsid w:val="00052C8E"/>
    <w:rsid w:val="000A34FD"/>
    <w:rsid w:val="000E6F01"/>
    <w:rsid w:val="00117117"/>
    <w:rsid w:val="001200F6"/>
    <w:rsid w:val="00147A98"/>
    <w:rsid w:val="00152D40"/>
    <w:rsid w:val="001D1619"/>
    <w:rsid w:val="001E192F"/>
    <w:rsid w:val="00285730"/>
    <w:rsid w:val="00297026"/>
    <w:rsid w:val="00297DCA"/>
    <w:rsid w:val="002B4F43"/>
    <w:rsid w:val="002D5679"/>
    <w:rsid w:val="00302CCD"/>
    <w:rsid w:val="003669D4"/>
    <w:rsid w:val="003824DB"/>
    <w:rsid w:val="003A7A29"/>
    <w:rsid w:val="003F2E4B"/>
    <w:rsid w:val="00405257"/>
    <w:rsid w:val="00406EB7"/>
    <w:rsid w:val="00420A56"/>
    <w:rsid w:val="0042106F"/>
    <w:rsid w:val="00444803"/>
    <w:rsid w:val="0048496C"/>
    <w:rsid w:val="00491BF4"/>
    <w:rsid w:val="00495E96"/>
    <w:rsid w:val="004B02A9"/>
    <w:rsid w:val="004B24D2"/>
    <w:rsid w:val="005452E0"/>
    <w:rsid w:val="005704BD"/>
    <w:rsid w:val="005A3186"/>
    <w:rsid w:val="005A7815"/>
    <w:rsid w:val="005B08D6"/>
    <w:rsid w:val="005D7104"/>
    <w:rsid w:val="005E18CA"/>
    <w:rsid w:val="00600243"/>
    <w:rsid w:val="00604026"/>
    <w:rsid w:val="00627C35"/>
    <w:rsid w:val="00637BCF"/>
    <w:rsid w:val="006618BE"/>
    <w:rsid w:val="006707B5"/>
    <w:rsid w:val="00672D2C"/>
    <w:rsid w:val="006A2D09"/>
    <w:rsid w:val="006A42BB"/>
    <w:rsid w:val="006D01C7"/>
    <w:rsid w:val="00710654"/>
    <w:rsid w:val="007572E9"/>
    <w:rsid w:val="00784054"/>
    <w:rsid w:val="007975F4"/>
    <w:rsid w:val="007A5E7A"/>
    <w:rsid w:val="007D03D5"/>
    <w:rsid w:val="008160B1"/>
    <w:rsid w:val="00836ECF"/>
    <w:rsid w:val="008803A3"/>
    <w:rsid w:val="008A5BF2"/>
    <w:rsid w:val="008E0220"/>
    <w:rsid w:val="008E64AB"/>
    <w:rsid w:val="008F18A8"/>
    <w:rsid w:val="00915999"/>
    <w:rsid w:val="009342FF"/>
    <w:rsid w:val="00957B12"/>
    <w:rsid w:val="00994BBC"/>
    <w:rsid w:val="009A2CC1"/>
    <w:rsid w:val="009B7C46"/>
    <w:rsid w:val="009C3132"/>
    <w:rsid w:val="009D2F58"/>
    <w:rsid w:val="009D42C8"/>
    <w:rsid w:val="00A13830"/>
    <w:rsid w:val="00A4447B"/>
    <w:rsid w:val="00A449F4"/>
    <w:rsid w:val="00A90D9E"/>
    <w:rsid w:val="00AE506D"/>
    <w:rsid w:val="00B75E60"/>
    <w:rsid w:val="00B92F62"/>
    <w:rsid w:val="00B93A8C"/>
    <w:rsid w:val="00BC3530"/>
    <w:rsid w:val="00BD375B"/>
    <w:rsid w:val="00BD5B5B"/>
    <w:rsid w:val="00BF01D0"/>
    <w:rsid w:val="00BF608B"/>
    <w:rsid w:val="00C3186C"/>
    <w:rsid w:val="00C5042B"/>
    <w:rsid w:val="00C51553"/>
    <w:rsid w:val="00C64A64"/>
    <w:rsid w:val="00C6598F"/>
    <w:rsid w:val="00C75499"/>
    <w:rsid w:val="00C76FD1"/>
    <w:rsid w:val="00CC0324"/>
    <w:rsid w:val="00CD68CB"/>
    <w:rsid w:val="00CF0FE1"/>
    <w:rsid w:val="00CF5360"/>
    <w:rsid w:val="00CF6730"/>
    <w:rsid w:val="00D06DF3"/>
    <w:rsid w:val="00D10652"/>
    <w:rsid w:val="00D7642B"/>
    <w:rsid w:val="00DB038C"/>
    <w:rsid w:val="00DC39F0"/>
    <w:rsid w:val="00DC3D4F"/>
    <w:rsid w:val="00DD1AFA"/>
    <w:rsid w:val="00DD203B"/>
    <w:rsid w:val="00DE5D80"/>
    <w:rsid w:val="00E5569E"/>
    <w:rsid w:val="00E6295F"/>
    <w:rsid w:val="00E66901"/>
    <w:rsid w:val="00E66A72"/>
    <w:rsid w:val="00E728D3"/>
    <w:rsid w:val="00E83030"/>
    <w:rsid w:val="00E909FB"/>
    <w:rsid w:val="00E971CC"/>
    <w:rsid w:val="00EC72D2"/>
    <w:rsid w:val="00ED62F7"/>
    <w:rsid w:val="00EE2F0C"/>
    <w:rsid w:val="00F2093F"/>
    <w:rsid w:val="00F265EB"/>
    <w:rsid w:val="00F32C78"/>
    <w:rsid w:val="00F3340F"/>
    <w:rsid w:val="00F62BCF"/>
    <w:rsid w:val="00FB3B7B"/>
    <w:rsid w:val="00FB7146"/>
    <w:rsid w:val="00FC4D7A"/>
    <w:rsid w:val="00FD6435"/>
    <w:rsid w:val="00FD79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6DB6"/>
  <w15:chartTrackingRefBased/>
  <w15:docId w15:val="{15323CB2-E8BB-4511-8A91-91381A8B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1"/>
        <w:szCs w:val="40"/>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2B"/>
    <w:pPr>
      <w:jc w:val="both"/>
    </w:pPr>
  </w:style>
  <w:style w:type="paragraph" w:styleId="Titre1">
    <w:name w:val="heading 1"/>
    <w:basedOn w:val="Normal"/>
    <w:next w:val="Normal"/>
    <w:link w:val="Titre1Car"/>
    <w:uiPriority w:val="9"/>
    <w:qFormat/>
    <w:rsid w:val="00406EB7"/>
    <w:pPr>
      <w:keepNext/>
      <w:keepLines/>
      <w:spacing w:after="0" w:line="240" w:lineRule="auto"/>
      <w:outlineLvl w:val="0"/>
    </w:pPr>
    <w:rPr>
      <w:rFonts w:asciiTheme="majorHAnsi" w:eastAsia="Times New Roman" w:hAnsiTheme="majorHAnsi" w:cstheme="majorBidi"/>
      <w:b/>
      <w:color w:val="FFFFFF" w:themeColor="background1"/>
      <w:sz w:val="32"/>
      <w:szCs w:val="32"/>
      <w:lang w:eastAsia="fr-BE"/>
    </w:rPr>
  </w:style>
  <w:style w:type="paragraph" w:styleId="Titre2">
    <w:name w:val="heading 2"/>
    <w:basedOn w:val="Normal"/>
    <w:next w:val="Normal"/>
    <w:link w:val="Titre2Car"/>
    <w:uiPriority w:val="9"/>
    <w:unhideWhenUsed/>
    <w:qFormat/>
    <w:rsid w:val="00C64A64"/>
    <w:pPr>
      <w:keepNext/>
      <w:keepLines/>
      <w:spacing w:before="160" w:after="12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F0FE1"/>
    <w:pPr>
      <w:keepNext/>
      <w:keepLines/>
      <w:spacing w:before="40" w:after="0"/>
      <w:outlineLvl w:val="2"/>
    </w:pPr>
    <w:rPr>
      <w:rFonts w:eastAsiaTheme="majorEastAsia" w:cstheme="majorBidi"/>
      <w:color w:val="8EAADB" w:themeColor="accent1" w:themeTint="99"/>
      <w:sz w:val="24"/>
      <w:szCs w:val="24"/>
    </w:rPr>
  </w:style>
  <w:style w:type="paragraph" w:styleId="Titre4">
    <w:name w:val="heading 4"/>
    <w:basedOn w:val="Normal"/>
    <w:next w:val="Normal"/>
    <w:link w:val="Titre4Car"/>
    <w:uiPriority w:val="9"/>
    <w:unhideWhenUsed/>
    <w:qFormat/>
    <w:rsid w:val="00CF0FE1"/>
    <w:pPr>
      <w:keepNext/>
      <w:keepLines/>
      <w:spacing w:before="160" w:after="120"/>
      <w:outlineLvl w:val="3"/>
    </w:pPr>
    <w:rPr>
      <w:rFonts w:eastAsiaTheme="majorEastAsia"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47A98"/>
    <w:pPr>
      <w:spacing w:after="0" w:line="240" w:lineRule="auto"/>
    </w:pPr>
    <w:rPr>
      <w:rFonts w:asciiTheme="minorHAnsi" w:eastAsiaTheme="minorEastAsia" w:hAnsiTheme="minorHAnsi"/>
      <w:sz w:val="22"/>
      <w:szCs w:val="22"/>
      <w:lang w:eastAsia="fr-BE"/>
    </w:rPr>
  </w:style>
  <w:style w:type="character" w:customStyle="1" w:styleId="SansinterligneCar">
    <w:name w:val="Sans interligne Car"/>
    <w:basedOn w:val="Policepardfaut"/>
    <w:link w:val="Sansinterligne"/>
    <w:uiPriority w:val="1"/>
    <w:rsid w:val="00147A98"/>
    <w:rPr>
      <w:rFonts w:asciiTheme="minorHAnsi" w:eastAsiaTheme="minorEastAsia" w:hAnsiTheme="minorHAnsi"/>
      <w:sz w:val="22"/>
      <w:szCs w:val="22"/>
      <w:lang w:eastAsia="fr-BE"/>
    </w:rPr>
  </w:style>
  <w:style w:type="character" w:customStyle="1" w:styleId="Titre1Car">
    <w:name w:val="Titre 1 Car"/>
    <w:basedOn w:val="Policepardfaut"/>
    <w:link w:val="Titre1"/>
    <w:uiPriority w:val="9"/>
    <w:rsid w:val="00406EB7"/>
    <w:rPr>
      <w:rFonts w:asciiTheme="majorHAnsi" w:eastAsia="Times New Roman" w:hAnsiTheme="majorHAnsi" w:cstheme="majorBidi"/>
      <w:b/>
      <w:color w:val="FFFFFF" w:themeColor="background1"/>
      <w:sz w:val="32"/>
      <w:szCs w:val="32"/>
      <w:lang w:eastAsia="fr-BE"/>
    </w:rPr>
  </w:style>
  <w:style w:type="character" w:customStyle="1" w:styleId="Titre2Car">
    <w:name w:val="Titre 2 Car"/>
    <w:basedOn w:val="Policepardfaut"/>
    <w:link w:val="Titre2"/>
    <w:uiPriority w:val="9"/>
    <w:rsid w:val="00C64A6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F0FE1"/>
    <w:rPr>
      <w:rFonts w:eastAsiaTheme="majorEastAsia" w:cstheme="majorBidi"/>
      <w:color w:val="8EAADB" w:themeColor="accent1" w:themeTint="99"/>
      <w:sz w:val="24"/>
      <w:szCs w:val="24"/>
    </w:rPr>
  </w:style>
  <w:style w:type="paragraph" w:styleId="Paragraphedeliste">
    <w:name w:val="List Paragraph"/>
    <w:aliases w:val="Lettre d'introduction,Paragraphe"/>
    <w:basedOn w:val="Normal"/>
    <w:uiPriority w:val="34"/>
    <w:qFormat/>
    <w:rsid w:val="009A2CC1"/>
    <w:pPr>
      <w:spacing w:after="200" w:line="276" w:lineRule="auto"/>
      <w:ind w:left="720"/>
      <w:contextualSpacing/>
    </w:pPr>
    <w:rPr>
      <w:rFonts w:asciiTheme="minorHAnsi" w:hAnsiTheme="minorHAnsi"/>
      <w:sz w:val="22"/>
      <w:szCs w:val="22"/>
    </w:rPr>
  </w:style>
  <w:style w:type="table" w:styleId="TableauGrille6Couleur-Accentuation1">
    <w:name w:val="Grid Table 6 Colorful Accent 1"/>
    <w:basedOn w:val="TableauNormal"/>
    <w:uiPriority w:val="51"/>
    <w:rsid w:val="009A2CC1"/>
    <w:pPr>
      <w:spacing w:after="0" w:line="240" w:lineRule="auto"/>
    </w:pPr>
    <w:rPr>
      <w:rFonts w:asciiTheme="minorHAnsi" w:hAnsiTheme="minorHAnsi"/>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lledutableau">
    <w:name w:val="Table Grid"/>
    <w:basedOn w:val="TableauNormal"/>
    <w:uiPriority w:val="59"/>
    <w:rsid w:val="009A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A2CC1"/>
    <w:pPr>
      <w:outlineLvl w:val="9"/>
    </w:pPr>
    <w:rPr>
      <w:b w:val="0"/>
      <w:color w:val="2F5496" w:themeColor="accent1" w:themeShade="BF"/>
    </w:rPr>
  </w:style>
  <w:style w:type="paragraph" w:styleId="TM2">
    <w:name w:val="toc 2"/>
    <w:basedOn w:val="Normal"/>
    <w:next w:val="Normal"/>
    <w:autoRedefine/>
    <w:uiPriority w:val="39"/>
    <w:unhideWhenUsed/>
    <w:rsid w:val="009A2CC1"/>
    <w:pPr>
      <w:spacing w:after="100"/>
      <w:ind w:left="210"/>
    </w:pPr>
  </w:style>
  <w:style w:type="paragraph" w:styleId="TM1">
    <w:name w:val="toc 1"/>
    <w:basedOn w:val="Normal"/>
    <w:next w:val="Normal"/>
    <w:autoRedefine/>
    <w:uiPriority w:val="39"/>
    <w:unhideWhenUsed/>
    <w:rsid w:val="009A2CC1"/>
    <w:pPr>
      <w:spacing w:after="100"/>
    </w:pPr>
  </w:style>
  <w:style w:type="character" w:styleId="Lienhypertexte">
    <w:name w:val="Hyperlink"/>
    <w:basedOn w:val="Policepardfaut"/>
    <w:uiPriority w:val="99"/>
    <w:unhideWhenUsed/>
    <w:rsid w:val="009A2CC1"/>
    <w:rPr>
      <w:color w:val="0563C1" w:themeColor="hyperlink"/>
      <w:u w:val="single"/>
    </w:rPr>
  </w:style>
  <w:style w:type="character" w:styleId="Textedelespacerserv">
    <w:name w:val="Placeholder Text"/>
    <w:basedOn w:val="Policepardfaut"/>
    <w:uiPriority w:val="99"/>
    <w:semiHidden/>
    <w:rsid w:val="009A2CC1"/>
    <w:rPr>
      <w:color w:val="808080"/>
    </w:rPr>
  </w:style>
  <w:style w:type="paragraph" w:styleId="En-tte">
    <w:name w:val="header"/>
    <w:basedOn w:val="Normal"/>
    <w:link w:val="En-tteCar"/>
    <w:uiPriority w:val="99"/>
    <w:unhideWhenUsed/>
    <w:rsid w:val="00285730"/>
    <w:pPr>
      <w:tabs>
        <w:tab w:val="center" w:pos="4536"/>
        <w:tab w:val="right" w:pos="9072"/>
      </w:tabs>
      <w:spacing w:after="0" w:line="240" w:lineRule="auto"/>
    </w:pPr>
  </w:style>
  <w:style w:type="character" w:customStyle="1" w:styleId="En-tteCar">
    <w:name w:val="En-tête Car"/>
    <w:basedOn w:val="Policepardfaut"/>
    <w:link w:val="En-tte"/>
    <w:uiPriority w:val="99"/>
    <w:rsid w:val="00285730"/>
  </w:style>
  <w:style w:type="paragraph" w:styleId="Pieddepage">
    <w:name w:val="footer"/>
    <w:basedOn w:val="Normal"/>
    <w:link w:val="PieddepageCar"/>
    <w:uiPriority w:val="99"/>
    <w:unhideWhenUsed/>
    <w:rsid w:val="00285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5730"/>
  </w:style>
  <w:style w:type="paragraph" w:customStyle="1" w:styleId="Default">
    <w:name w:val="Default"/>
    <w:rsid w:val="008803A3"/>
    <w:pPr>
      <w:autoSpaceDE w:val="0"/>
      <w:autoSpaceDN w:val="0"/>
      <w:adjustRightInd w:val="0"/>
      <w:spacing w:after="0" w:line="240" w:lineRule="auto"/>
    </w:pPr>
    <w:rPr>
      <w:rFonts w:cs="Century Gothic"/>
      <w:color w:val="000000"/>
      <w:sz w:val="24"/>
      <w:szCs w:val="24"/>
    </w:rPr>
  </w:style>
  <w:style w:type="paragraph" w:styleId="Notedebasdepage">
    <w:name w:val="footnote text"/>
    <w:basedOn w:val="Normal"/>
    <w:link w:val="NotedebasdepageCar"/>
    <w:uiPriority w:val="99"/>
    <w:semiHidden/>
    <w:unhideWhenUsed/>
    <w:rsid w:val="008803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803A3"/>
    <w:rPr>
      <w:sz w:val="20"/>
      <w:szCs w:val="20"/>
    </w:rPr>
  </w:style>
  <w:style w:type="character" w:styleId="Appelnotedebasdep">
    <w:name w:val="footnote reference"/>
    <w:basedOn w:val="Policepardfaut"/>
    <w:uiPriority w:val="99"/>
    <w:semiHidden/>
    <w:unhideWhenUsed/>
    <w:rsid w:val="008803A3"/>
    <w:rPr>
      <w:vertAlign w:val="superscript"/>
    </w:rPr>
  </w:style>
  <w:style w:type="character" w:customStyle="1" w:styleId="Titre4Car">
    <w:name w:val="Titre 4 Car"/>
    <w:basedOn w:val="Policepardfaut"/>
    <w:link w:val="Titre4"/>
    <w:uiPriority w:val="9"/>
    <w:rsid w:val="00CF0FE1"/>
    <w:rPr>
      <w:rFonts w:eastAsiaTheme="majorEastAsia" w:cstheme="majorBidi"/>
      <w:i/>
      <w:iCs/>
      <w:color w:val="2F5496" w:themeColor="accent1" w:themeShade="BF"/>
    </w:rPr>
  </w:style>
  <w:style w:type="paragraph" w:styleId="TM3">
    <w:name w:val="toc 3"/>
    <w:basedOn w:val="Normal"/>
    <w:next w:val="Normal"/>
    <w:autoRedefine/>
    <w:uiPriority w:val="39"/>
    <w:unhideWhenUsed/>
    <w:rsid w:val="00EE2F0C"/>
    <w:pPr>
      <w:spacing w:after="100"/>
      <w:ind w:left="420"/>
    </w:pPr>
  </w:style>
  <w:style w:type="paragraph" w:styleId="TM4">
    <w:name w:val="toc 4"/>
    <w:basedOn w:val="Normal"/>
    <w:next w:val="Normal"/>
    <w:autoRedefine/>
    <w:uiPriority w:val="39"/>
    <w:unhideWhenUsed/>
    <w:rsid w:val="00EE2F0C"/>
    <w:pPr>
      <w:spacing w:after="100"/>
      <w:ind w:left="630"/>
    </w:pPr>
  </w:style>
  <w:style w:type="character" w:styleId="Mentionnonrsolue">
    <w:name w:val="Unresolved Mention"/>
    <w:basedOn w:val="Policepardfaut"/>
    <w:uiPriority w:val="99"/>
    <w:semiHidden/>
    <w:unhideWhenUsed/>
    <w:rsid w:val="00C6598F"/>
    <w:rPr>
      <w:color w:val="605E5C"/>
      <w:shd w:val="clear" w:color="auto" w:fill="E1DFDD"/>
    </w:rPr>
  </w:style>
  <w:style w:type="character" w:styleId="Marquedecommentaire">
    <w:name w:val="annotation reference"/>
    <w:basedOn w:val="Policepardfaut"/>
    <w:uiPriority w:val="99"/>
    <w:semiHidden/>
    <w:unhideWhenUsed/>
    <w:rsid w:val="00C51553"/>
    <w:rPr>
      <w:sz w:val="16"/>
      <w:szCs w:val="16"/>
    </w:rPr>
  </w:style>
  <w:style w:type="paragraph" w:styleId="Commentaire">
    <w:name w:val="annotation text"/>
    <w:basedOn w:val="Normal"/>
    <w:link w:val="CommentaireCar"/>
    <w:uiPriority w:val="99"/>
    <w:semiHidden/>
    <w:unhideWhenUsed/>
    <w:rsid w:val="00C51553"/>
    <w:pPr>
      <w:spacing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C51553"/>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F8A20130-CCDB-4ADF-8C4B-D445B495C8B5}"/>
      </w:docPartPr>
      <w:docPartBody>
        <w:p w:rsidR="00956EAA" w:rsidRDefault="00DA14C9">
          <w:r w:rsidRPr="00DF0BF7">
            <w:rPr>
              <w:rStyle w:val="Textedelespacerserv"/>
            </w:rPr>
            <w:t>Cliquez ou appuyez ici pour entrer du texte.</w:t>
          </w:r>
        </w:p>
      </w:docPartBody>
    </w:docPart>
    <w:docPart>
      <w:docPartPr>
        <w:name w:val="F48CDF89458C4E95B509D733BEECC5F5"/>
        <w:category>
          <w:name w:val="Général"/>
          <w:gallery w:val="placeholder"/>
        </w:category>
        <w:types>
          <w:type w:val="bbPlcHdr"/>
        </w:types>
        <w:behaviors>
          <w:behavior w:val="content"/>
        </w:behaviors>
        <w:guid w:val="{F257A317-C742-4019-8E41-9CB6BA714149}"/>
      </w:docPartPr>
      <w:docPartBody>
        <w:p w:rsidR="00875F0E" w:rsidRDefault="00956EAA" w:rsidP="00956EAA">
          <w:pPr>
            <w:pStyle w:val="F48CDF89458C4E95B509D733BEECC5F5"/>
          </w:pPr>
          <w:r>
            <w:rPr>
              <w:color w:val="7F7F7F" w:themeColor="text1" w:themeTint="80"/>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C9"/>
    <w:rsid w:val="004D28C5"/>
    <w:rsid w:val="00875F0E"/>
    <w:rsid w:val="008E1A23"/>
    <w:rsid w:val="00956EAA"/>
    <w:rsid w:val="00A07374"/>
    <w:rsid w:val="00DA14C9"/>
    <w:rsid w:val="00DE65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48CDF89458C4E95B509D733BEECC5F5">
    <w:name w:val="F48CDF89458C4E95B509D733BEECC5F5"/>
    <w:rsid w:val="00956EAA"/>
  </w:style>
  <w:style w:type="character" w:styleId="Textedelespacerserv">
    <w:name w:val="Placeholder Text"/>
    <w:basedOn w:val="Policepardfaut"/>
    <w:uiPriority w:val="99"/>
    <w:semiHidden/>
    <w:rsid w:val="00DA14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D8557-2507-4B20-A169-0BE220A11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3D374-8861-4CD6-B5FD-95F73F2D28D4}">
  <ds:schemaRefs>
    <ds:schemaRef ds:uri="http://schemas.microsoft.com/sharepoint/v3/contenttype/forms"/>
  </ds:schemaRefs>
</ds:datastoreItem>
</file>

<file path=customXml/itemProps3.xml><?xml version="1.0" encoding="utf-8"?>
<ds:datastoreItem xmlns:ds="http://schemas.openxmlformats.org/officeDocument/2006/customXml" ds:itemID="{48AB44C3-3924-4D3D-813A-95F670E2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1095</Words>
  <Characters>6026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La reconduction – Septembre 2019</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reconduction – Juillet 2024</dc:title>
  <dc:subject/>
  <dc:creator>Note au rédacteur</dc:creator>
  <cp:keywords/>
  <dc:description/>
  <cp:lastModifiedBy>GATHON Laure</cp:lastModifiedBy>
  <cp:revision>5</cp:revision>
  <cp:lastPrinted>2024-07-15T06:39:00Z</cp:lastPrinted>
  <dcterms:created xsi:type="dcterms:W3CDTF">2024-07-12T07:53:00Z</dcterms:created>
  <dcterms:modified xsi:type="dcterms:W3CDTF">2024-07-15T06:39:00Z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2023-07-13T09:44:11Z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b91254ae-b217-49f8-9629-7bdd46df4280</vt:lpwstr>
  </property>
  <property fmtid="{D5CDD505-2E9C-101B-9397-08002B2CF9AE}" pid="8" name="MSIP_Label_97a477d1-147d-4e34-b5e3-7b26d2f44870_ContentBits">
    <vt:lpwstr>0</vt:lpwstr>
  </property>
</Properties>
</file>